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4C67D7"/>
    <w:p w14:paraId="50FB6F32">
      <w:pPr>
        <w:spacing w:line="540" w:lineRule="exact"/>
        <w:jc w:val="center"/>
        <w:rPr>
          <w:rFonts w:eastAsia="华文中宋"/>
          <w:b/>
          <w:kern w:val="0"/>
          <w:sz w:val="52"/>
          <w:szCs w:val="52"/>
        </w:rPr>
      </w:pPr>
    </w:p>
    <w:p w14:paraId="62B044D7">
      <w:pPr>
        <w:spacing w:line="540" w:lineRule="exact"/>
        <w:rPr>
          <w:rFonts w:eastAsia="华文中宋"/>
          <w:b/>
          <w:kern w:val="0"/>
          <w:sz w:val="52"/>
          <w:szCs w:val="52"/>
        </w:rPr>
      </w:pPr>
    </w:p>
    <w:p w14:paraId="00342B29">
      <w:pPr>
        <w:spacing w:line="540" w:lineRule="exact"/>
        <w:jc w:val="center"/>
        <w:rPr>
          <w:rFonts w:eastAsia="华文中宋"/>
          <w:b/>
          <w:kern w:val="0"/>
          <w:sz w:val="52"/>
          <w:szCs w:val="52"/>
        </w:rPr>
      </w:pPr>
    </w:p>
    <w:p w14:paraId="13CCF3CF">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lang w:val="en-US" w:eastAsia="zh-CN"/>
        </w:rPr>
        <w:t>社区经费（80%）</w:t>
      </w:r>
      <w:r>
        <w:rPr>
          <w:rFonts w:hint="eastAsia" w:ascii="方正小标宋_GBK" w:hAnsi="方正小标宋_GBK" w:eastAsia="方正小标宋_GBK" w:cs="方正小标宋_GBK"/>
          <w:kern w:val="0"/>
          <w:sz w:val="48"/>
          <w:szCs w:val="48"/>
        </w:rPr>
        <w:t>项目支出绩效评价报告</w:t>
      </w:r>
    </w:p>
    <w:p w14:paraId="63F31379">
      <w:pPr>
        <w:spacing w:line="540" w:lineRule="exact"/>
        <w:jc w:val="center"/>
        <w:rPr>
          <w:rFonts w:eastAsia="华文中宋"/>
          <w:b/>
          <w:kern w:val="0"/>
          <w:sz w:val="52"/>
          <w:szCs w:val="52"/>
        </w:rPr>
      </w:pPr>
    </w:p>
    <w:p w14:paraId="34092B7E">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10E3B24A">
      <w:pPr>
        <w:spacing w:line="540" w:lineRule="exact"/>
        <w:jc w:val="center"/>
        <w:rPr>
          <w:rFonts w:eastAsia="仿宋_GB2312"/>
          <w:kern w:val="0"/>
          <w:sz w:val="30"/>
          <w:szCs w:val="30"/>
        </w:rPr>
      </w:pPr>
    </w:p>
    <w:p w14:paraId="16E68699">
      <w:pPr>
        <w:spacing w:line="540" w:lineRule="exact"/>
        <w:jc w:val="center"/>
        <w:rPr>
          <w:rFonts w:eastAsia="仿宋_GB2312"/>
          <w:kern w:val="0"/>
          <w:sz w:val="30"/>
          <w:szCs w:val="30"/>
        </w:rPr>
      </w:pPr>
    </w:p>
    <w:p w14:paraId="1DC4CF95">
      <w:pPr>
        <w:spacing w:line="540" w:lineRule="exact"/>
        <w:jc w:val="center"/>
        <w:rPr>
          <w:rFonts w:eastAsia="仿宋_GB2312"/>
          <w:kern w:val="0"/>
          <w:sz w:val="30"/>
          <w:szCs w:val="30"/>
        </w:rPr>
      </w:pPr>
    </w:p>
    <w:p w14:paraId="3A340FFE">
      <w:pPr>
        <w:pStyle w:val="12"/>
      </w:pPr>
    </w:p>
    <w:p w14:paraId="7027AFF5">
      <w:pPr>
        <w:spacing w:line="540" w:lineRule="exact"/>
        <w:jc w:val="center"/>
        <w:rPr>
          <w:rFonts w:eastAsia="仿宋_GB2312"/>
          <w:kern w:val="0"/>
          <w:sz w:val="30"/>
          <w:szCs w:val="30"/>
        </w:rPr>
      </w:pPr>
    </w:p>
    <w:p w14:paraId="0591620E">
      <w:pPr>
        <w:spacing w:line="540" w:lineRule="exact"/>
        <w:rPr>
          <w:rFonts w:eastAsia="仿宋_GB2312"/>
          <w:kern w:val="0"/>
          <w:sz w:val="30"/>
          <w:szCs w:val="30"/>
        </w:rPr>
      </w:pPr>
    </w:p>
    <w:p w14:paraId="15E83C1B">
      <w:pPr>
        <w:pStyle w:val="12"/>
        <w:rPr>
          <w:rFonts w:hint="eastAsia" w:eastAsia="仿宋_GB2312"/>
          <w:kern w:val="0"/>
          <w:sz w:val="30"/>
          <w:szCs w:val="30"/>
          <w:lang w:val="en-US" w:eastAsia="zh-CN"/>
        </w:rPr>
      </w:pPr>
      <w:r>
        <w:rPr>
          <w:rFonts w:hint="eastAsia" w:eastAsia="仿宋_GB2312"/>
          <w:kern w:val="0"/>
          <w:sz w:val="30"/>
          <w:szCs w:val="30"/>
          <w:lang w:val="en-US" w:eastAsia="zh-CN"/>
        </w:rPr>
        <w:t xml:space="preserve"> </w:t>
      </w:r>
    </w:p>
    <w:p w14:paraId="20A2B114">
      <w:pPr>
        <w:rPr>
          <w:rFonts w:hint="eastAsia" w:eastAsia="仿宋_GB2312"/>
          <w:kern w:val="0"/>
          <w:sz w:val="30"/>
          <w:szCs w:val="30"/>
          <w:lang w:val="en-US" w:eastAsia="zh-CN"/>
        </w:rPr>
      </w:pPr>
    </w:p>
    <w:p w14:paraId="207B166C">
      <w:pPr>
        <w:rPr>
          <w:rFonts w:hint="eastAsia" w:eastAsia="仿宋_GB2312"/>
          <w:kern w:val="0"/>
          <w:sz w:val="30"/>
          <w:szCs w:val="30"/>
          <w:lang w:val="en-US" w:eastAsia="zh-CN"/>
        </w:rPr>
      </w:pPr>
    </w:p>
    <w:p w14:paraId="1AD8C641"/>
    <w:p w14:paraId="1382428D"/>
    <w:p w14:paraId="60709634">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eastAsia="仿宋_GB2312"/>
          <w:kern w:val="0"/>
          <w:sz w:val="32"/>
          <w:szCs w:val="32"/>
          <w:lang w:val="en-US" w:eastAsia="zh-CN"/>
        </w:rPr>
      </w:pPr>
      <w:r>
        <w:rPr>
          <w:rFonts w:eastAsia="仿宋_GB2312"/>
          <w:kern w:val="0"/>
          <w:sz w:val="32"/>
          <w:szCs w:val="32"/>
        </w:rPr>
        <w:t>项目名称：</w:t>
      </w:r>
      <w:r>
        <w:rPr>
          <w:rFonts w:hint="eastAsia" w:eastAsia="仿宋_GB2312"/>
          <w:kern w:val="0"/>
          <w:sz w:val="32"/>
          <w:szCs w:val="32"/>
          <w:lang w:val="en-US" w:eastAsia="zh-CN"/>
        </w:rPr>
        <w:t>社区经费（80%）</w:t>
      </w:r>
    </w:p>
    <w:p w14:paraId="136A3FCF">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default" w:eastAsia="仿宋_GB2312"/>
          <w:kern w:val="0"/>
          <w:sz w:val="32"/>
          <w:szCs w:val="32"/>
          <w:lang w:val="en-US" w:eastAsia="zh-CN"/>
        </w:rPr>
      </w:pPr>
      <w:r>
        <w:rPr>
          <w:rFonts w:eastAsia="仿宋_GB2312"/>
          <w:kern w:val="0"/>
          <w:sz w:val="32"/>
          <w:szCs w:val="32"/>
        </w:rPr>
        <w:t>实施单位（公章）：</w:t>
      </w:r>
      <w:r>
        <w:rPr>
          <w:rFonts w:hint="eastAsia" w:eastAsia="仿宋_GB2312"/>
          <w:kern w:val="0"/>
          <w:sz w:val="32"/>
          <w:szCs w:val="32"/>
          <w:lang w:val="en-US" w:eastAsia="zh-CN"/>
        </w:rPr>
        <w:t>乌鲁木齐市水磨沟区水塔山街道办事处</w:t>
      </w:r>
    </w:p>
    <w:p w14:paraId="066FFF77">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default" w:eastAsia="仿宋_GB2312"/>
          <w:kern w:val="0"/>
          <w:sz w:val="32"/>
          <w:szCs w:val="32"/>
          <w:lang w:val="en-US" w:eastAsia="zh-CN"/>
        </w:rPr>
      </w:pPr>
      <w:r>
        <w:rPr>
          <w:rFonts w:eastAsia="仿宋_GB2312"/>
          <w:kern w:val="0"/>
          <w:sz w:val="32"/>
          <w:szCs w:val="32"/>
        </w:rPr>
        <w:t>主管部门（公章）：</w:t>
      </w:r>
      <w:r>
        <w:rPr>
          <w:rFonts w:hint="eastAsia" w:eastAsia="仿宋_GB2312"/>
          <w:kern w:val="0"/>
          <w:sz w:val="32"/>
          <w:szCs w:val="32"/>
          <w:lang w:val="en-US" w:eastAsia="zh-CN"/>
        </w:rPr>
        <w:t>乌鲁木齐市水磨沟区水塔山街道办事处</w:t>
      </w:r>
    </w:p>
    <w:p w14:paraId="48B6B683">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eastAsia="仿宋_GB2312"/>
          <w:kern w:val="0"/>
          <w:sz w:val="32"/>
          <w:szCs w:val="32"/>
          <w:lang w:eastAsia="zh-CN"/>
        </w:rPr>
      </w:pPr>
      <w:r>
        <w:rPr>
          <w:rFonts w:eastAsia="仿宋_GB2312"/>
          <w:kern w:val="0"/>
          <w:sz w:val="32"/>
          <w:szCs w:val="32"/>
        </w:rPr>
        <w:t>项目负责人（签章）：</w:t>
      </w:r>
      <w:r>
        <w:rPr>
          <w:rFonts w:hint="eastAsia" w:eastAsia="仿宋_GB2312"/>
          <w:kern w:val="0"/>
          <w:sz w:val="32"/>
          <w:szCs w:val="32"/>
          <w:lang w:val="en-US" w:eastAsia="zh-CN"/>
        </w:rPr>
        <w:t>王亮</w:t>
      </w:r>
    </w:p>
    <w:p w14:paraId="1DA5B0D6">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eastAsia="黑体"/>
          <w:bCs/>
          <w:sz w:val="32"/>
          <w:szCs w:val="32"/>
        </w:rPr>
        <w:sectPr>
          <w:pgSz w:w="11906" w:h="16838"/>
          <w:pgMar w:top="1440" w:right="1558" w:bottom="1440" w:left="1800" w:header="851" w:footer="992" w:gutter="0"/>
          <w:pgNumType w:start="1"/>
          <w:cols w:space="425" w:num="1"/>
          <w:docGrid w:type="lines" w:linePitch="312" w:charSpace="0"/>
        </w:sectPr>
      </w:pPr>
      <w:r>
        <w:rPr>
          <w:rFonts w:eastAsia="仿宋_GB2312"/>
          <w:kern w:val="0"/>
          <w:sz w:val="32"/>
          <w:szCs w:val="32"/>
        </w:rPr>
        <w:t>填报时间：</w:t>
      </w:r>
      <w:r>
        <w:rPr>
          <w:rFonts w:hint="eastAsia" w:eastAsia="仿宋_GB2312"/>
          <w:kern w:val="0"/>
          <w:sz w:val="32"/>
          <w:szCs w:val="32"/>
          <w:lang w:val="en-US" w:eastAsia="zh-CN"/>
        </w:rPr>
        <w:t>2025</w:t>
      </w:r>
      <w:r>
        <w:rPr>
          <w:rFonts w:eastAsia="仿宋_GB2312"/>
          <w:kern w:val="0"/>
          <w:sz w:val="32"/>
          <w:szCs w:val="32"/>
        </w:rPr>
        <w:t>年</w:t>
      </w:r>
      <w:r>
        <w:rPr>
          <w:rFonts w:hint="eastAsia" w:eastAsia="仿宋_GB2312"/>
          <w:kern w:val="0"/>
          <w:sz w:val="32"/>
          <w:szCs w:val="32"/>
          <w:lang w:val="en-US" w:eastAsia="zh-CN"/>
        </w:rPr>
        <w:t>4</w:t>
      </w:r>
      <w:r>
        <w:rPr>
          <w:rFonts w:eastAsia="仿宋_GB2312"/>
          <w:kern w:val="0"/>
          <w:sz w:val="32"/>
          <w:szCs w:val="32"/>
        </w:rPr>
        <w:t>月</w:t>
      </w:r>
      <w:r>
        <w:rPr>
          <w:rFonts w:hint="eastAsia" w:eastAsia="仿宋_GB2312"/>
          <w:kern w:val="0"/>
          <w:sz w:val="32"/>
          <w:szCs w:val="32"/>
          <w:lang w:val="en-US" w:eastAsia="zh-CN"/>
        </w:rPr>
        <w:t>2</w:t>
      </w:r>
      <w:r>
        <w:rPr>
          <w:rFonts w:eastAsia="仿宋_GB2312"/>
          <w:kern w:val="0"/>
          <w:sz w:val="32"/>
          <w:szCs w:val="32"/>
        </w:rPr>
        <w:t>日</w:t>
      </w:r>
    </w:p>
    <w:p w14:paraId="46070364">
      <w:pPr>
        <w:spacing w:line="560" w:lineRule="exact"/>
        <w:ind w:firstLine="640" w:firstLineChars="200"/>
        <w:rPr>
          <w:rFonts w:eastAsia="黑体"/>
          <w:bCs/>
          <w:sz w:val="32"/>
          <w:szCs w:val="32"/>
        </w:rPr>
      </w:pPr>
      <w:r>
        <w:rPr>
          <w:rFonts w:eastAsia="黑体"/>
          <w:bCs/>
          <w:sz w:val="32"/>
          <w:szCs w:val="32"/>
        </w:rPr>
        <w:t>一、基本情况</w:t>
      </w:r>
    </w:p>
    <w:p w14:paraId="522CA2AC">
      <w:pPr>
        <w:spacing w:line="560" w:lineRule="exact"/>
        <w:ind w:firstLine="643" w:firstLineChars="200"/>
        <w:rPr>
          <w:rFonts w:eastAsia="楷体_GB2312"/>
          <w:b/>
          <w:bCs/>
          <w:sz w:val="32"/>
          <w:szCs w:val="32"/>
        </w:rPr>
      </w:pPr>
      <w:r>
        <w:rPr>
          <w:rFonts w:eastAsia="楷体_GB2312"/>
          <w:b/>
          <w:bCs/>
          <w:sz w:val="32"/>
          <w:szCs w:val="32"/>
        </w:rPr>
        <w:t>（一）项目概况</w:t>
      </w:r>
    </w:p>
    <w:p w14:paraId="3A3BA729">
      <w:pPr>
        <w:pStyle w:val="23"/>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1650D6C5">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根据市委组织部、市财政局关于《乌鲁木齐市社区工作经费管理使用办法（暂行）》（乌党组办字〔2012〕31号）、《乌鲁木齐市社区工作经费管理使用办法（暂行）》的补充通知（乌党组办字〔201</w:t>
      </w: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rPr>
        <w:t>〕6号）规定，主要是支付社区正常运转所需租赁费、水电费、办公用房取暖费、办公经费、维修护经费、社区服务车辆运行经费、服务群众经费、活动费等工作经费，为辖区居民服务。确保专项经费的管理和使用，最大限度地体现社区群众意愿和需求。通过严格把控项目资金使用，及时上报资金的使用情况，保障项目资金按计划执行。从而更好的服务群众，促进社会经济和谐发展，促进社会建设和文化、教育、卫生公益事业发展，提高基层党组织的服务质量，维护社会面大局。进而更好地从民生保障、社区管理、民族团结、综合治理、安全生产、计划生育等各项领域服务辖区居民。</w:t>
      </w:r>
    </w:p>
    <w:p w14:paraId="0AD82C25">
      <w:pPr>
        <w:pStyle w:val="23"/>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项目主要内容</w:t>
      </w:r>
      <w:r>
        <w:rPr>
          <w:rFonts w:hint="eastAsia" w:ascii="仿宋_GB2312" w:hAnsi="仿宋_GB2312" w:eastAsia="仿宋_GB2312" w:cs="仿宋_GB2312"/>
          <w:b/>
          <w:bCs/>
          <w:sz w:val="32"/>
          <w:szCs w:val="32"/>
          <w:lang w:val="en-US" w:eastAsia="zh-CN"/>
        </w:rPr>
        <w:t>及实施情况</w:t>
      </w:r>
    </w:p>
    <w:p w14:paraId="71A0EC43">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项目主要内容：社区经费项目采取差异化分配模式，其中2个重点社区按60万元/个标准划拨，共计120万元；8个一般社区按50万元/个标准划拨，共计400万元，项目总预算520万元，本次按80%比例先行拨付416万元。</w:t>
      </w:r>
    </w:p>
    <w:p w14:paraId="73449DC2">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资金使用方向：一是保障社区日常运行，安排222万元用于10个社区日常公用经费支出，确保社区基础服务正常开展；</w:t>
      </w:r>
    </w:p>
    <w:p w14:paraId="230FBA8F">
      <w:pPr>
        <w:spacing w:line="560" w:lineRule="exac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二是丰富群众文化生活，投入160万元支持社区开展各类群众活动，增进居民互动，提升社区凝聚力；三是化解历史债务，安排34万元专项用于解决社区历年欠款问题，优化社区财务状况。</w:t>
      </w:r>
    </w:p>
    <w:p w14:paraId="0BF1560B">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3416C90D">
      <w:pPr>
        <w:pStyle w:val="23"/>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资金投入和使用情况</w:t>
      </w:r>
    </w:p>
    <w:p w14:paraId="696E806A">
      <w:pPr>
        <w:spacing w:line="560" w:lineRule="exact"/>
        <w:ind w:firstLine="640" w:firstLineChars="200"/>
        <w:rPr>
          <w:rFonts w:hint="eastAsia" w:eastAsia="仿宋_GB2312"/>
          <w:sz w:val="32"/>
          <w:szCs w:val="32"/>
        </w:rPr>
      </w:pPr>
      <w:r>
        <w:rPr>
          <w:rFonts w:hint="eastAsia" w:eastAsia="仿宋_GB2312"/>
          <w:sz w:val="32"/>
          <w:szCs w:val="32"/>
        </w:rPr>
        <w:t>（1）资金投入情况</w:t>
      </w:r>
    </w:p>
    <w:p w14:paraId="025A3376">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该项目年初预算数416万元，全年预算数416万元，实际总投入416万元，该项目资金已全部落实到位，资金来源为财政拨款，年中资金无调整情况。</w:t>
      </w:r>
    </w:p>
    <w:p w14:paraId="294D3A5E">
      <w:pPr>
        <w:spacing w:line="560" w:lineRule="exact"/>
        <w:ind w:firstLine="640" w:firstLineChars="200"/>
        <w:rPr>
          <w:rFonts w:hint="eastAsia" w:eastAsia="仿宋_GB2312"/>
          <w:sz w:val="32"/>
          <w:szCs w:val="32"/>
        </w:rPr>
      </w:pPr>
      <w:r>
        <w:rPr>
          <w:rFonts w:hint="eastAsia" w:eastAsia="仿宋_GB2312"/>
          <w:sz w:val="32"/>
          <w:szCs w:val="32"/>
        </w:rPr>
        <w:t>（2）资金使用情况</w:t>
      </w:r>
    </w:p>
    <w:p w14:paraId="3A7E883A">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项目年初预算数416万元，全年预算数416万元,，全年执行数385.89万元，预算执行率为92.76%，主要用于：社区经费项目主要用于维持10个社区的日常运转，资金具体使用集中在三个方面：一是社区日常公用经费支出，保障社区的基础运营；二是社区开展各类群众活动，丰富居民的精神文化生活，三是社区化解历史欠款，优化社区财务状况。</w:t>
      </w:r>
    </w:p>
    <w:p w14:paraId="684A5485">
      <w:pPr>
        <w:spacing w:line="560" w:lineRule="exact"/>
        <w:ind w:firstLine="643" w:firstLineChars="200"/>
        <w:rPr>
          <w:rFonts w:eastAsia="楷体_GB2312"/>
          <w:b/>
          <w:bCs/>
          <w:sz w:val="32"/>
          <w:szCs w:val="32"/>
        </w:rPr>
      </w:pPr>
      <w:r>
        <w:rPr>
          <w:rFonts w:eastAsia="楷体_GB2312"/>
          <w:b/>
          <w:bCs/>
          <w:sz w:val="32"/>
          <w:szCs w:val="32"/>
        </w:rPr>
        <w:t>（二）项目绩效目标</w:t>
      </w:r>
    </w:p>
    <w:p w14:paraId="18D339C5">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lang w:val="en-US" w:eastAsia="zh-CN" w:bidi="ar-SA"/>
        </w:rPr>
        <w:t>1.总体目标</w:t>
      </w:r>
    </w:p>
    <w:p w14:paraId="6505C967">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项目主要保障辖区10个社区日常运转，其中2个重点社区经费为120万元（60万元/个*2个=120万），8个一般社区经费为400万元（50万元/个*8个=400万元），合计520万元，本次拨付80%，故为416万元。其中10个社区用于日常公用经费开支222万元，开展各项群众活动160万元，化解历年欠款34万元。</w:t>
      </w:r>
    </w:p>
    <w:p w14:paraId="4CEBFFD3">
      <w:pPr>
        <w:numPr>
          <w:ilvl w:val="0"/>
          <w:numId w:val="0"/>
        </w:numPr>
        <w:spacing w:line="560" w:lineRule="exact"/>
        <w:ind w:firstLine="643" w:firstLineChars="200"/>
        <w:rPr>
          <w:rFonts w:hint="eastAsia" w:eastAsia="仿宋_GB2312"/>
          <w:sz w:val="32"/>
          <w:szCs w:val="32"/>
        </w:rPr>
      </w:pPr>
      <w:r>
        <w:rPr>
          <w:rFonts w:hint="eastAsia" w:ascii="仿宋_GB2312" w:hAnsi="仿宋_GB2312" w:eastAsia="仿宋_GB2312" w:cs="仿宋_GB2312"/>
          <w:b/>
          <w:bCs/>
          <w:kern w:val="0"/>
          <w:sz w:val="32"/>
          <w:szCs w:val="32"/>
          <w:lang w:val="en-US" w:eastAsia="zh-CN" w:bidi="ar-SA"/>
        </w:rPr>
        <w:t>阶段性目标</w:t>
      </w:r>
    </w:p>
    <w:p w14:paraId="0F413CD2">
      <w:pPr>
        <w:spacing w:line="560" w:lineRule="exact"/>
        <w:ind w:firstLine="640" w:firstLineChars="200"/>
        <w:rPr>
          <w:rFonts w:hint="eastAsia" w:eastAsia="仿宋_GB2312"/>
          <w:sz w:val="32"/>
          <w:szCs w:val="32"/>
        </w:rPr>
      </w:pPr>
      <w:r>
        <w:rPr>
          <w:rFonts w:hint="eastAsia" w:eastAsia="仿宋_GB2312"/>
          <w:sz w:val="32"/>
          <w:szCs w:val="32"/>
          <w:lang w:val="en-US" w:eastAsia="zh-CN"/>
        </w:rPr>
        <w:t>1.</w:t>
      </w:r>
      <w:r>
        <w:rPr>
          <w:rFonts w:hint="eastAsia" w:eastAsia="仿宋_GB2312"/>
          <w:sz w:val="32"/>
          <w:szCs w:val="32"/>
        </w:rPr>
        <w:t>日常运转保障：通过222万元日常公用经费，保障10个社区基础办公需求，完成办公用品采购、设施维护、水电费缴纳等工作，实现社区服务窗口正常运转率100%。</w:t>
      </w:r>
    </w:p>
    <w:p w14:paraId="39E9E222">
      <w:pPr>
        <w:spacing w:line="560" w:lineRule="exact"/>
        <w:ind w:firstLine="640" w:firstLineChars="200"/>
        <w:rPr>
          <w:rFonts w:hint="eastAsia" w:eastAsia="仿宋_GB2312"/>
          <w:sz w:val="32"/>
          <w:szCs w:val="32"/>
        </w:rPr>
      </w:pPr>
      <w:r>
        <w:rPr>
          <w:rFonts w:hint="eastAsia" w:eastAsia="仿宋_GB2312"/>
          <w:sz w:val="32"/>
          <w:szCs w:val="32"/>
          <w:lang w:val="en-US" w:eastAsia="zh-CN"/>
        </w:rPr>
        <w:t>2.群</w:t>
      </w:r>
      <w:r>
        <w:rPr>
          <w:rFonts w:hint="eastAsia" w:eastAsia="仿宋_GB2312"/>
          <w:sz w:val="32"/>
          <w:szCs w:val="32"/>
        </w:rPr>
        <w:t>众活动开展：依托160万元活动经费，组织不少于30场社区活动（重点社区各开展5场、一般社区各开展2 - 3场），覆盖文化、教育、健康等领域，预计参与群众超</w:t>
      </w:r>
      <w:r>
        <w:rPr>
          <w:rFonts w:hint="eastAsia" w:eastAsia="仿宋_GB2312"/>
          <w:sz w:val="32"/>
          <w:szCs w:val="32"/>
          <w:lang w:val="en-US" w:eastAsia="zh-CN"/>
        </w:rPr>
        <w:t>1</w:t>
      </w:r>
      <w:r>
        <w:rPr>
          <w:rFonts w:hint="eastAsia" w:eastAsia="仿宋_GB2312"/>
          <w:sz w:val="32"/>
          <w:szCs w:val="32"/>
        </w:rPr>
        <w:t>000人次，提升居民满意度。</w:t>
      </w:r>
    </w:p>
    <w:p w14:paraId="74343975">
      <w:pPr>
        <w:spacing w:line="560" w:lineRule="exact"/>
        <w:ind w:firstLine="640" w:firstLineChars="200"/>
        <w:rPr>
          <w:rFonts w:hint="eastAsia" w:ascii="仿宋_GB2312" w:hAnsi="仿宋_GB2312" w:eastAsia="仿宋_GB2312" w:cs="仿宋_GB2312"/>
          <w:b w:val="0"/>
          <w:bCs w:val="0"/>
          <w:color w:val="FF0000"/>
          <w:sz w:val="30"/>
          <w:szCs w:val="30"/>
        </w:rPr>
      </w:pPr>
      <w:r>
        <w:rPr>
          <w:rFonts w:hint="eastAsia" w:eastAsia="仿宋_GB2312"/>
          <w:sz w:val="32"/>
          <w:szCs w:val="32"/>
          <w:lang w:val="en-US" w:eastAsia="zh-CN"/>
        </w:rPr>
        <w:t>3.</w:t>
      </w:r>
      <w:r>
        <w:rPr>
          <w:rFonts w:hint="eastAsia" w:eastAsia="仿宋_GB2312"/>
          <w:sz w:val="32"/>
          <w:szCs w:val="32"/>
        </w:rPr>
        <w:t xml:space="preserve"> 欠款化解推进：使用34万元专项资金，优先偿还2 - 3家重点债权人欠款，完成欠款清理台账梳理，明确剩余债务解决方案，降低社区财务风险。</w:t>
      </w:r>
    </w:p>
    <w:p w14:paraId="61F1BC79">
      <w:pPr>
        <w:spacing w:line="560" w:lineRule="exact"/>
        <w:ind w:firstLine="640" w:firstLineChars="200"/>
        <w:rPr>
          <w:rFonts w:eastAsia="黑体"/>
          <w:sz w:val="32"/>
          <w:szCs w:val="32"/>
          <w:highlight w:val="none"/>
        </w:rPr>
      </w:pPr>
      <w:r>
        <w:rPr>
          <w:rFonts w:eastAsia="黑体"/>
          <w:sz w:val="32"/>
          <w:szCs w:val="32"/>
          <w:highlight w:val="none"/>
        </w:rPr>
        <w:t>二、绩效评价工作开展情况</w:t>
      </w:r>
    </w:p>
    <w:p w14:paraId="4B278C93">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05FDF516">
      <w:pPr>
        <w:pStyle w:val="23"/>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绩效评价的目的</w:t>
      </w:r>
    </w:p>
    <w:p w14:paraId="5F1D7CCC">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32099F1">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6D051C63">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1281C5AA">
      <w:pPr>
        <w:pStyle w:val="23"/>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2A88E47">
      <w:pPr>
        <w:pStyle w:val="23"/>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绩效评价的对象</w:t>
      </w:r>
    </w:p>
    <w:p w14:paraId="7FF32311">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lang w:val="en-US"/>
        </w:rPr>
      </w:pPr>
      <w:r>
        <w:rPr>
          <w:rFonts w:ascii="仿宋_GB2312" w:hAnsi="仿宋_GB2312" w:eastAsia="仿宋_GB2312" w:cs="仿宋_GB2312"/>
          <w:color w:val="000000"/>
          <w:kern w:val="0"/>
          <w:sz w:val="31"/>
          <w:szCs w:val="31"/>
          <w:lang w:val="en-US" w:eastAsia="zh-CN"/>
        </w:rPr>
        <w:t>（</w:t>
      </w:r>
      <w:r>
        <w:rPr>
          <w:rFonts w:hint="default" w:ascii="Times New Roman" w:hAnsi="Times New Roman" w:eastAsia="宋体" w:cs="Times New Roman"/>
          <w:color w:val="000000"/>
          <w:kern w:val="0"/>
          <w:sz w:val="31"/>
          <w:szCs w:val="31"/>
          <w:lang w:val="en-US" w:eastAsia="zh-CN"/>
        </w:rPr>
        <w:t>1</w:t>
      </w:r>
      <w:r>
        <w:rPr>
          <w:rFonts w:ascii="仿宋_GB2312" w:hAnsi="仿宋_GB2312" w:eastAsia="仿宋_GB2312" w:cs="仿宋_GB2312"/>
          <w:color w:val="000000"/>
          <w:kern w:val="0"/>
          <w:sz w:val="31"/>
          <w:szCs w:val="31"/>
          <w:lang w:val="en-US" w:eastAsia="zh-CN"/>
        </w:rPr>
        <w:t>）评价的对象：</w:t>
      </w:r>
      <w:r>
        <w:rPr>
          <w:rFonts w:hint="eastAsia" w:eastAsia="仿宋_GB2312"/>
          <w:sz w:val="32"/>
          <w:szCs w:val="32"/>
          <w:lang w:val="en-US" w:eastAsia="zh-CN"/>
        </w:rPr>
        <w:t>社区经费（80%）项目</w:t>
      </w:r>
    </w:p>
    <w:p w14:paraId="7EE39AE2">
      <w:pPr>
        <w:pStyle w:val="23"/>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绩效评价的范围</w:t>
      </w:r>
    </w:p>
    <w:p w14:paraId="2B2990D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lang w:val="en-US" w:eastAsia="zh-CN"/>
        </w:rPr>
        <w:t>社区经费（80%）</w:t>
      </w:r>
      <w:r>
        <w:rPr>
          <w:rFonts w:hint="eastAsia" w:ascii="仿宋_GB2312" w:hAnsi="仿宋_GB2312" w:eastAsia="仿宋_GB2312" w:cs="仿宋_GB2312"/>
          <w:sz w:val="32"/>
          <w:szCs w:val="32"/>
        </w:rPr>
        <w:t>项目进行评价，评价核心为专项资金的支出完成情况和效果。</w:t>
      </w:r>
    </w:p>
    <w:p w14:paraId="0FDC9F53">
      <w:pPr>
        <w:pStyle w:val="23"/>
        <w:spacing w:line="560" w:lineRule="exact"/>
        <w:ind w:firstLine="640" w:firstLineChars="200"/>
        <w:rPr>
          <w:rFonts w:hint="eastAsia" w:eastAsia="仿宋_GB2312"/>
          <w:sz w:val="32"/>
          <w:szCs w:val="32"/>
        </w:rPr>
      </w:pPr>
      <w:r>
        <w:rPr>
          <w:rFonts w:hint="eastAsia" w:eastAsia="仿宋_GB2312"/>
          <w:sz w:val="32"/>
          <w:szCs w:val="32"/>
          <w:lang w:val="en-US" w:eastAsia="zh-CN"/>
        </w:rPr>
        <w:t>（</w:t>
      </w:r>
      <w:r>
        <w:rPr>
          <w:rFonts w:hint="default" w:eastAsia="仿宋_GB2312"/>
          <w:sz w:val="32"/>
          <w:szCs w:val="32"/>
          <w:lang w:val="en-US" w:eastAsia="zh-CN"/>
        </w:rPr>
        <w:t>1</w:t>
      </w:r>
      <w:r>
        <w:rPr>
          <w:rFonts w:hint="eastAsia" w:eastAsia="仿宋_GB2312"/>
          <w:sz w:val="32"/>
          <w:szCs w:val="32"/>
          <w:lang w:val="en-US" w:eastAsia="zh-CN"/>
        </w:rPr>
        <w:t>）时间范围：</w:t>
      </w:r>
      <w:r>
        <w:rPr>
          <w:rFonts w:hint="default" w:eastAsia="仿宋_GB2312"/>
          <w:sz w:val="32"/>
          <w:szCs w:val="32"/>
          <w:lang w:val="en-US" w:eastAsia="zh-CN"/>
        </w:rPr>
        <w:t>202</w:t>
      </w:r>
      <w:r>
        <w:rPr>
          <w:rFonts w:hint="eastAsia" w:eastAsia="仿宋_GB2312"/>
          <w:sz w:val="32"/>
          <w:szCs w:val="32"/>
          <w:lang w:val="en-US" w:eastAsia="zh-CN"/>
        </w:rPr>
        <w:t>4年</w:t>
      </w:r>
      <w:r>
        <w:rPr>
          <w:rFonts w:hint="default" w:eastAsia="仿宋_GB2312"/>
          <w:sz w:val="32"/>
          <w:szCs w:val="32"/>
          <w:lang w:val="en-US" w:eastAsia="zh-CN"/>
        </w:rPr>
        <w:t>1</w:t>
      </w:r>
      <w:r>
        <w:rPr>
          <w:rFonts w:hint="eastAsia" w:eastAsia="仿宋_GB2312"/>
          <w:sz w:val="32"/>
          <w:szCs w:val="32"/>
          <w:lang w:val="en-US" w:eastAsia="zh-CN"/>
        </w:rPr>
        <w:t>月</w:t>
      </w:r>
      <w:r>
        <w:rPr>
          <w:rFonts w:hint="default" w:eastAsia="仿宋_GB2312"/>
          <w:sz w:val="32"/>
          <w:szCs w:val="32"/>
          <w:lang w:val="en-US" w:eastAsia="zh-CN"/>
        </w:rPr>
        <w:t>1</w:t>
      </w:r>
      <w:r>
        <w:rPr>
          <w:rFonts w:hint="eastAsia" w:eastAsia="仿宋_GB2312"/>
          <w:sz w:val="32"/>
          <w:szCs w:val="32"/>
          <w:lang w:val="en-US" w:eastAsia="zh-CN"/>
        </w:rPr>
        <w:t>日至</w:t>
      </w:r>
      <w:r>
        <w:rPr>
          <w:rFonts w:hint="default" w:eastAsia="仿宋_GB2312"/>
          <w:sz w:val="32"/>
          <w:szCs w:val="32"/>
          <w:lang w:val="en-US" w:eastAsia="zh-CN"/>
        </w:rPr>
        <w:t>202</w:t>
      </w:r>
      <w:r>
        <w:rPr>
          <w:rFonts w:hint="eastAsia" w:eastAsia="仿宋_GB2312"/>
          <w:sz w:val="32"/>
          <w:szCs w:val="32"/>
          <w:lang w:val="en-US" w:eastAsia="zh-CN"/>
        </w:rPr>
        <w:t>4年</w:t>
      </w:r>
      <w:r>
        <w:rPr>
          <w:rFonts w:hint="default" w:eastAsia="仿宋_GB2312"/>
          <w:sz w:val="32"/>
          <w:szCs w:val="32"/>
          <w:lang w:val="en-US" w:eastAsia="zh-CN"/>
        </w:rPr>
        <w:t>12</w:t>
      </w:r>
      <w:r>
        <w:rPr>
          <w:rFonts w:hint="eastAsia" w:eastAsia="仿宋_GB2312"/>
          <w:sz w:val="32"/>
          <w:szCs w:val="32"/>
          <w:lang w:val="en-US" w:eastAsia="zh-CN"/>
        </w:rPr>
        <w:t>月</w:t>
      </w:r>
      <w:r>
        <w:rPr>
          <w:rFonts w:hint="default" w:eastAsia="仿宋_GB2312"/>
          <w:sz w:val="32"/>
          <w:szCs w:val="32"/>
          <w:lang w:val="en-US" w:eastAsia="zh-CN"/>
        </w:rPr>
        <w:t xml:space="preserve">31 </w:t>
      </w:r>
    </w:p>
    <w:p w14:paraId="12845D44">
      <w:pPr>
        <w:pStyle w:val="23"/>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日。</w:t>
      </w:r>
    </w:p>
    <w:p w14:paraId="155616CF">
      <w:pPr>
        <w:pStyle w:val="23"/>
        <w:spacing w:line="560" w:lineRule="exact"/>
        <w:ind w:firstLine="624" w:firstLineChars="195"/>
        <w:rPr>
          <w:rFonts w:hint="eastAsia" w:eastAsia="仿宋_GB2312"/>
          <w:sz w:val="32"/>
          <w:szCs w:val="32"/>
          <w:lang w:val="en-US" w:eastAsia="zh-CN"/>
        </w:rPr>
      </w:pPr>
      <w:r>
        <w:rPr>
          <w:rFonts w:hint="eastAsia" w:eastAsia="仿宋_GB2312"/>
          <w:sz w:val="32"/>
          <w:szCs w:val="32"/>
          <w:lang w:val="en-US" w:eastAsia="zh-CN"/>
        </w:rPr>
        <w:t>（2）项目</w:t>
      </w:r>
      <w:r>
        <w:rPr>
          <w:rFonts w:hint="eastAsia" w:ascii="仿宋_GB2312" w:hAnsi="仿宋_GB2312" w:eastAsia="仿宋_GB2312" w:cs="仿宋_GB2312"/>
          <w:kern w:val="2"/>
          <w:sz w:val="32"/>
          <w:szCs w:val="32"/>
          <w:lang w:val="en-US" w:eastAsia="zh-CN" w:bidi="ar-SA"/>
        </w:rPr>
        <w:t>范围：社区经费的完成情况、资金投入的运行情况、项目实施后产生的绩效及影响效果。</w:t>
      </w:r>
    </w:p>
    <w:p w14:paraId="39F47F7C">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lang w:val="en-US" w:eastAsia="zh-CN"/>
        </w:rPr>
        <w:t>附件2</w:t>
      </w:r>
      <w:r>
        <w:rPr>
          <w:rFonts w:eastAsia="楷体_GB2312"/>
          <w:b/>
          <w:bCs/>
          <w:sz w:val="32"/>
          <w:szCs w:val="32"/>
        </w:rPr>
        <w:t>）、评价方法、评价标准</w:t>
      </w:r>
    </w:p>
    <w:p w14:paraId="6EA47DC9">
      <w:pPr>
        <w:pStyle w:val="23"/>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绩效评价原则</w:t>
      </w:r>
    </w:p>
    <w:p w14:paraId="2BE5954E">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本次项目绩效评价遵循以下基本原则：</w:t>
      </w:r>
    </w:p>
    <w:p w14:paraId="3EA11E1A">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（1）科学公正。绩效评价应当运用科学合理的方法，按照规范的程序，对项目绩效进行客观、公正的反映。</w:t>
      </w:r>
    </w:p>
    <w:p w14:paraId="1EDE1538">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74991776">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641677FA">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（4）公开透明。绩效评价结果应依法依规公开，并自觉接受社会监督。</w:t>
      </w:r>
    </w:p>
    <w:p w14:paraId="2E5BCE85">
      <w:pPr>
        <w:pStyle w:val="23"/>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3AAABC47">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绩效评价指标体系作为衡量绩效目标实现程度的考核工具，一般遵循以下原则：</w:t>
      </w:r>
    </w:p>
    <w:p w14:paraId="1902B747">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（1）相关性原则：绩效评价指标应当与绩效目标有直接的联系，能够恰当反映目标的实现程度。</w:t>
      </w:r>
    </w:p>
    <w:p w14:paraId="6F8F9D5B">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（2）重要性原则：应当优先使用最具评价对象代表性、最能反映评价要求的核心指标。</w:t>
      </w:r>
    </w:p>
    <w:p w14:paraId="142DC65E">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（3）可比性原则：对同类评价对象要设定共性的绩效评价指标，以便于评价结果可以相互比较。</w:t>
      </w:r>
    </w:p>
    <w:p w14:paraId="5CB4E1E3">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（4）系统性原则：绩效评价指标的设置应当将定量指标与定性指标相结合，能系统反映财政支出所产生的社会效益、经济效益和可持续影响等。</w:t>
      </w:r>
    </w:p>
    <w:p w14:paraId="420EFA42">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（5）经济性原则：绩效评价指标设计应当通俗易懂、简便易行，数据的获得应当考虑现实条件和可操作性，符合成本效益原则。</w:t>
      </w:r>
    </w:p>
    <w:p w14:paraId="668E0C0A">
      <w:pPr>
        <w:pStyle w:val="23"/>
        <w:spacing w:line="560" w:lineRule="exact"/>
        <w:ind w:firstLine="640" w:firstLineChars="200"/>
        <w:rPr>
          <w:rFonts w:hint="eastAsia" w:ascii="Times New Roman" w:hAnsi="Times New Roman" w:eastAsia="仿宋_GB2312" w:cs="Times New Roman"/>
          <w:sz w:val="32"/>
          <w:szCs w:val="32"/>
        </w:rPr>
        <w:sectPr>
          <w:footerReference r:id="rId3" w:type="default"/>
          <w:pgSz w:w="11906" w:h="16838"/>
          <w:pgMar w:top="1440" w:right="1558" w:bottom="1440" w:left="1800" w:header="851" w:footer="992" w:gutter="0"/>
          <w:pgNumType w:start="1"/>
          <w:cols w:space="425" w:num="1"/>
          <w:docGrid w:type="lines" w:linePitch="312" w:charSpace="0"/>
        </w:sectPr>
      </w:pPr>
      <w:r>
        <w:rPr>
          <w:rFonts w:hint="eastAsia" w:ascii="Times New Roman" w:hAnsi="Times New Roman" w:eastAsia="仿宋_GB2312" w:cs="Times New Roman"/>
          <w:sz w:val="32"/>
          <w:szCs w:val="32"/>
        </w:rPr>
        <w:t>本项目的评价指标体系建立如下表所示。</w:t>
      </w:r>
    </w:p>
    <w:tbl>
      <w:tblPr>
        <w:tblStyle w:val="14"/>
        <w:tblW w:w="1389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55"/>
        <w:gridCol w:w="1199"/>
        <w:gridCol w:w="1411"/>
        <w:gridCol w:w="2789"/>
        <w:gridCol w:w="7341"/>
      </w:tblGrid>
      <w:tr w14:paraId="70DFBEA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14:paraId="06AFE915">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一级指标</w:t>
            </w:r>
          </w:p>
        </w:tc>
        <w:tc>
          <w:tcPr>
            <w:tcW w:w="1199" w:type="dxa"/>
            <w:tcBorders>
              <w:tl2br w:val="nil"/>
              <w:tr2bl w:val="nil"/>
            </w:tcBorders>
            <w:shd w:val="clear" w:color="auto" w:fill="D0CECE"/>
            <w:vAlign w:val="center"/>
          </w:tcPr>
          <w:p w14:paraId="542822C3">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二级指标</w:t>
            </w:r>
          </w:p>
        </w:tc>
        <w:tc>
          <w:tcPr>
            <w:tcW w:w="1411" w:type="dxa"/>
            <w:tcBorders>
              <w:tl2br w:val="nil"/>
              <w:tr2bl w:val="nil"/>
            </w:tcBorders>
            <w:shd w:val="clear" w:color="auto" w:fill="D0CECE"/>
            <w:vAlign w:val="center"/>
          </w:tcPr>
          <w:p w14:paraId="786769FC">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三级指标</w:t>
            </w:r>
          </w:p>
        </w:tc>
        <w:tc>
          <w:tcPr>
            <w:tcW w:w="2789" w:type="dxa"/>
            <w:tcBorders>
              <w:tl2br w:val="nil"/>
              <w:tr2bl w:val="nil"/>
            </w:tcBorders>
            <w:shd w:val="clear" w:color="auto" w:fill="D0CECE"/>
            <w:vAlign w:val="center"/>
          </w:tcPr>
          <w:p w14:paraId="07C3F53A">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指标解释</w:t>
            </w:r>
          </w:p>
        </w:tc>
        <w:tc>
          <w:tcPr>
            <w:tcW w:w="7341" w:type="dxa"/>
            <w:tcBorders>
              <w:tl2br w:val="nil"/>
              <w:tr2bl w:val="nil"/>
            </w:tcBorders>
            <w:shd w:val="clear" w:color="auto" w:fill="D0CECE"/>
            <w:vAlign w:val="center"/>
          </w:tcPr>
          <w:p w14:paraId="04DCBFCC">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指标说明</w:t>
            </w:r>
          </w:p>
        </w:tc>
      </w:tr>
      <w:tr w14:paraId="3CCF13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58" w:hRule="atLeast"/>
          <w:jc w:val="center"/>
        </w:trPr>
        <w:tc>
          <w:tcPr>
            <w:tcW w:w="1155" w:type="dxa"/>
            <w:vMerge w:val="restart"/>
            <w:tcBorders>
              <w:tl2br w:val="nil"/>
              <w:tr2bl w:val="nil"/>
            </w:tcBorders>
            <w:shd w:val="clear" w:color="auto" w:fill="FFFFFF"/>
            <w:vAlign w:val="center"/>
          </w:tcPr>
          <w:p w14:paraId="78F860F9">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决策</w:t>
            </w:r>
          </w:p>
        </w:tc>
        <w:tc>
          <w:tcPr>
            <w:tcW w:w="1199" w:type="dxa"/>
            <w:vMerge w:val="restart"/>
            <w:tcBorders>
              <w:tl2br w:val="nil"/>
              <w:tr2bl w:val="nil"/>
            </w:tcBorders>
            <w:shd w:val="clear" w:color="auto" w:fill="FFFFFF"/>
            <w:vAlign w:val="center"/>
          </w:tcPr>
          <w:p w14:paraId="29C169D3">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w:t>
            </w:r>
          </w:p>
        </w:tc>
        <w:tc>
          <w:tcPr>
            <w:tcW w:w="1411" w:type="dxa"/>
            <w:tcBorders>
              <w:tl2br w:val="nil"/>
              <w:tr2bl w:val="nil"/>
            </w:tcBorders>
            <w:shd w:val="clear" w:color="auto" w:fill="FFFFFF"/>
            <w:vAlign w:val="center"/>
          </w:tcPr>
          <w:p w14:paraId="0AC323EA">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立项依据</w:t>
            </w:r>
          </w:p>
          <w:p w14:paraId="04237DA7">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充分性</w:t>
            </w:r>
          </w:p>
        </w:tc>
        <w:tc>
          <w:tcPr>
            <w:tcW w:w="2789" w:type="dxa"/>
            <w:tcBorders>
              <w:tl2br w:val="nil"/>
              <w:tr2bl w:val="nil"/>
            </w:tcBorders>
            <w:shd w:val="clear" w:color="auto" w:fill="FFFFFF"/>
            <w:vAlign w:val="center"/>
          </w:tcPr>
          <w:p w14:paraId="505B4C83">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385C0DB2">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①项目立项是否符合国家法律法规、国民经济发展规划和相关政策；</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②项目立项是否符合行业发展规划和政策要求；</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③项目立项是否与部门职责范围相符，</w:t>
            </w:r>
            <w:r>
              <w:rPr>
                <w:rFonts w:hint="eastAsia" w:ascii="宋体" w:hAnsi="宋体" w:eastAsia="宋体" w:cs="宋体"/>
                <w:color w:val="auto"/>
                <w:kern w:val="0"/>
                <w:sz w:val="22"/>
                <w:highlight w:val="none"/>
                <w:lang w:val="en-US" w:eastAsia="zh-CN"/>
              </w:rPr>
              <w:t>属于部门</w:t>
            </w:r>
            <w:r>
              <w:rPr>
                <w:rFonts w:hint="eastAsia" w:ascii="宋体" w:hAnsi="宋体" w:eastAsia="宋体" w:cs="宋体"/>
                <w:color w:val="auto"/>
                <w:kern w:val="0"/>
                <w:sz w:val="22"/>
                <w:highlight w:val="none"/>
              </w:rPr>
              <w:t>履职所需；</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④项目是否属于公共财政支持范围，是否符合中央、地方事权支出责任划分原则；</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⑤项目是否与相关部门同类项目或部门内部相关项目重复。</w:t>
            </w:r>
          </w:p>
        </w:tc>
      </w:tr>
      <w:tr w14:paraId="525E8D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75" w:hRule="atLeast"/>
          <w:jc w:val="center"/>
        </w:trPr>
        <w:tc>
          <w:tcPr>
            <w:tcW w:w="1155" w:type="dxa"/>
            <w:vMerge w:val="continue"/>
            <w:tcBorders>
              <w:tl2br w:val="nil"/>
              <w:tr2bl w:val="nil"/>
            </w:tcBorders>
            <w:shd w:val="clear" w:color="auto" w:fill="FFFFFF"/>
            <w:vAlign w:val="center"/>
          </w:tcPr>
          <w:p w14:paraId="21CC162B">
            <w:pPr>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7963DF28">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3A97CF2B">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立项程序</w:t>
            </w:r>
          </w:p>
          <w:p w14:paraId="440467D5">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规范性</w:t>
            </w:r>
          </w:p>
        </w:tc>
        <w:tc>
          <w:tcPr>
            <w:tcW w:w="2789" w:type="dxa"/>
            <w:tcBorders>
              <w:tl2br w:val="nil"/>
              <w:tr2bl w:val="nil"/>
            </w:tcBorders>
            <w:shd w:val="clear" w:color="auto" w:fill="FFFFFF"/>
            <w:vAlign w:val="center"/>
          </w:tcPr>
          <w:p w14:paraId="6F0C291A">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14:paraId="713AB922">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①项目是否按照规定的程序申请设立；</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②审批文件、材料是否符合相关要求；</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③事前是否已经过必要的可行性研究、专家论证、风险评估、绩效评估、集体决策。</w:t>
            </w:r>
          </w:p>
        </w:tc>
      </w:tr>
      <w:tr w14:paraId="447CD2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155" w:type="dxa"/>
            <w:vMerge w:val="continue"/>
            <w:tcBorders>
              <w:tl2br w:val="nil"/>
              <w:tr2bl w:val="nil"/>
            </w:tcBorders>
            <w:shd w:val="clear" w:color="auto" w:fill="FFFFFF"/>
            <w:vAlign w:val="center"/>
          </w:tcPr>
          <w:p w14:paraId="581A33F5">
            <w:pPr>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14:paraId="7D594FCD">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1411" w:type="dxa"/>
            <w:tcBorders>
              <w:tl2br w:val="nil"/>
              <w:tr2bl w:val="nil"/>
            </w:tcBorders>
            <w:shd w:val="clear" w:color="auto" w:fill="FFFFFF"/>
            <w:vAlign w:val="center"/>
          </w:tcPr>
          <w:p w14:paraId="5E52D673">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p w14:paraId="0130B8BD">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合理性</w:t>
            </w:r>
          </w:p>
        </w:tc>
        <w:tc>
          <w:tcPr>
            <w:tcW w:w="2789" w:type="dxa"/>
            <w:tcBorders>
              <w:tl2br w:val="nil"/>
              <w:tr2bl w:val="nil"/>
            </w:tcBorders>
            <w:shd w:val="clear" w:color="000000" w:fill="FFFFFF"/>
            <w:vAlign w:val="center"/>
          </w:tcPr>
          <w:p w14:paraId="77661CF1">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784FB970">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（如未设定预算绩效目标，也可考核其他工作任务目标）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①项目是否有绩效目标；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②项目绩效目标与实际工作内容是否具有相关性；</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③项目预期产出效益和效果是否符合正常的业绩水平；</w:t>
            </w:r>
          </w:p>
          <w:p w14:paraId="6A7DE1D6">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④是否与预算确定的项目投资额或资金量相匹配。</w:t>
            </w:r>
          </w:p>
        </w:tc>
      </w:tr>
      <w:tr w14:paraId="766F2C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15" w:hRule="atLeast"/>
          <w:jc w:val="center"/>
        </w:trPr>
        <w:tc>
          <w:tcPr>
            <w:tcW w:w="1155" w:type="dxa"/>
            <w:vMerge w:val="restart"/>
            <w:tcBorders>
              <w:tl2br w:val="nil"/>
              <w:tr2bl w:val="nil"/>
            </w:tcBorders>
            <w:shd w:val="clear" w:color="auto" w:fill="FFFFFF"/>
            <w:vAlign w:val="center"/>
          </w:tcPr>
          <w:p w14:paraId="55677963">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决策</w:t>
            </w:r>
          </w:p>
        </w:tc>
        <w:tc>
          <w:tcPr>
            <w:tcW w:w="1199" w:type="dxa"/>
            <w:tcBorders>
              <w:tl2br w:val="nil"/>
              <w:tr2bl w:val="nil"/>
            </w:tcBorders>
            <w:shd w:val="clear" w:color="auto" w:fill="FFFFFF"/>
            <w:vAlign w:val="center"/>
          </w:tcPr>
          <w:p w14:paraId="5673224A">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1411" w:type="dxa"/>
            <w:tcBorders>
              <w:tl2br w:val="nil"/>
              <w:tr2bl w:val="nil"/>
            </w:tcBorders>
            <w:shd w:val="clear" w:color="auto" w:fill="FFFFFF"/>
            <w:vAlign w:val="center"/>
          </w:tcPr>
          <w:p w14:paraId="7D17E525">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绩效指标</w:t>
            </w:r>
          </w:p>
          <w:p w14:paraId="65B64999">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明确性</w:t>
            </w:r>
          </w:p>
        </w:tc>
        <w:tc>
          <w:tcPr>
            <w:tcW w:w="2789" w:type="dxa"/>
            <w:tcBorders>
              <w:tl2br w:val="nil"/>
              <w:tr2bl w:val="nil"/>
            </w:tcBorders>
            <w:shd w:val="clear" w:color="000000" w:fill="FFFFFF"/>
            <w:vAlign w:val="center"/>
          </w:tcPr>
          <w:p w14:paraId="595F7449">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4A7284C2">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①是否将项目绩效目标细化分解为具体的绩效指标；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②是否通过清晰、可衡量的指标值予以体现；</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③是否与项目目标任务数或计划数相对应。</w:t>
            </w:r>
            <w:r>
              <w:rPr>
                <w:rFonts w:hint="eastAsia" w:ascii="宋体" w:hAnsi="宋体" w:eastAsia="宋体" w:cs="宋体"/>
                <w:color w:val="auto"/>
                <w:kern w:val="0"/>
                <w:sz w:val="22"/>
                <w:highlight w:val="none"/>
              </w:rPr>
              <w:br w:type="textWrapping"/>
            </w:r>
          </w:p>
        </w:tc>
      </w:tr>
      <w:tr w14:paraId="6EF835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22" w:hRule="atLeast"/>
          <w:jc w:val="center"/>
        </w:trPr>
        <w:tc>
          <w:tcPr>
            <w:tcW w:w="1155" w:type="dxa"/>
            <w:vMerge w:val="continue"/>
            <w:tcBorders>
              <w:tl2br w:val="nil"/>
              <w:tr2bl w:val="nil"/>
            </w:tcBorders>
            <w:shd w:val="clear" w:color="auto" w:fill="FFFFFF"/>
            <w:vAlign w:val="center"/>
          </w:tcPr>
          <w:p w14:paraId="75833A71">
            <w:pPr>
              <w:ind w:firstLine="0" w:firstLineChars="0"/>
              <w:jc w:val="center"/>
              <w:rPr>
                <w:rFonts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14:paraId="1965B6B3">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资金投入</w:t>
            </w:r>
          </w:p>
        </w:tc>
        <w:tc>
          <w:tcPr>
            <w:tcW w:w="1411" w:type="dxa"/>
            <w:tcBorders>
              <w:tl2br w:val="nil"/>
              <w:tr2bl w:val="nil"/>
            </w:tcBorders>
            <w:shd w:val="clear" w:color="auto" w:fill="FFFFFF"/>
            <w:vAlign w:val="center"/>
          </w:tcPr>
          <w:p w14:paraId="47E37133">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预算编制</w:t>
            </w:r>
          </w:p>
          <w:p w14:paraId="7B13FE42">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科学性</w:t>
            </w:r>
          </w:p>
        </w:tc>
        <w:tc>
          <w:tcPr>
            <w:tcW w:w="2789" w:type="dxa"/>
            <w:tcBorders>
              <w:tl2br w:val="nil"/>
              <w:tr2bl w:val="nil"/>
            </w:tcBorders>
            <w:shd w:val="clear" w:color="auto" w:fill="FFFFFF"/>
            <w:vAlign w:val="center"/>
          </w:tcPr>
          <w:p w14:paraId="0D22C14A">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24EBEEE9">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①预算编制是否经过科学论证；</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②预算内容与项目内容是否匹配；</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③预算额度测算依据是否充分，是否按照标准编制；</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④预算确定的项目投资额或资金量是否与工作任务相匹配。</w:t>
            </w:r>
          </w:p>
        </w:tc>
      </w:tr>
      <w:tr w14:paraId="365FDE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86" w:hRule="atLeast"/>
          <w:jc w:val="center"/>
        </w:trPr>
        <w:tc>
          <w:tcPr>
            <w:tcW w:w="1155" w:type="dxa"/>
            <w:vMerge w:val="continue"/>
            <w:tcBorders>
              <w:tl2br w:val="nil"/>
              <w:tr2bl w:val="nil"/>
            </w:tcBorders>
            <w:shd w:val="clear" w:color="auto" w:fill="FFFFFF"/>
            <w:vAlign w:val="center"/>
          </w:tcPr>
          <w:p w14:paraId="36278EED">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07E23CB9">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1AF23E1E">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资金分配</w:t>
            </w:r>
          </w:p>
          <w:p w14:paraId="5F24BBBB">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合理性</w:t>
            </w:r>
          </w:p>
        </w:tc>
        <w:tc>
          <w:tcPr>
            <w:tcW w:w="2789" w:type="dxa"/>
            <w:tcBorders>
              <w:tl2br w:val="nil"/>
              <w:tr2bl w:val="nil"/>
            </w:tcBorders>
            <w:shd w:val="clear" w:color="auto" w:fill="FFFFFF"/>
            <w:vAlign w:val="center"/>
          </w:tcPr>
          <w:p w14:paraId="509FAFB6">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0C8C1242">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①预算资金分配依据是否充分；</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②资金分配额度是否合理，与项目单位或地方实际是否相适应。</w:t>
            </w:r>
          </w:p>
        </w:tc>
      </w:tr>
      <w:tr w14:paraId="56465B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1B5A7706">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过程</w:t>
            </w:r>
          </w:p>
        </w:tc>
        <w:tc>
          <w:tcPr>
            <w:tcW w:w="1199" w:type="dxa"/>
            <w:vMerge w:val="restart"/>
            <w:tcBorders>
              <w:tl2br w:val="nil"/>
              <w:tr2bl w:val="nil"/>
            </w:tcBorders>
            <w:shd w:val="clear" w:color="auto" w:fill="FFFFFF"/>
            <w:vAlign w:val="center"/>
          </w:tcPr>
          <w:p w14:paraId="2DD82C7A">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1411" w:type="dxa"/>
            <w:tcBorders>
              <w:tl2br w:val="nil"/>
              <w:tr2bl w:val="nil"/>
            </w:tcBorders>
            <w:shd w:val="clear" w:color="auto" w:fill="FFFFFF"/>
            <w:vAlign w:val="center"/>
          </w:tcPr>
          <w:p w14:paraId="00CF6C47">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w:t>
            </w:r>
          </w:p>
        </w:tc>
        <w:tc>
          <w:tcPr>
            <w:tcW w:w="2789" w:type="dxa"/>
            <w:tcBorders>
              <w:tl2br w:val="nil"/>
              <w:tr2bl w:val="nil"/>
            </w:tcBorders>
            <w:shd w:val="clear" w:color="000000" w:fill="FFFFFF"/>
            <w:vAlign w:val="center"/>
          </w:tcPr>
          <w:p w14:paraId="2D757D8E">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1DECB3EC">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资金到位率=（实际到位资金/预算资金）×100%。</w:t>
            </w:r>
          </w:p>
          <w:p w14:paraId="3DD0CE08">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实际到位资金：一定时期（本年度或项目期）内落实到具体项目的资金。</w:t>
            </w:r>
          </w:p>
          <w:p w14:paraId="42080BF7">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预算资金：一定时期（本年度或项目期）内预算安排到具体项目的资金。</w:t>
            </w:r>
          </w:p>
        </w:tc>
      </w:tr>
      <w:tr w14:paraId="41857D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24C6744F">
            <w:pPr>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00774E68">
            <w:pPr>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5FC10B9B">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w:t>
            </w:r>
          </w:p>
        </w:tc>
        <w:tc>
          <w:tcPr>
            <w:tcW w:w="2789" w:type="dxa"/>
            <w:tcBorders>
              <w:tl2br w:val="nil"/>
              <w:tr2bl w:val="nil"/>
            </w:tcBorders>
            <w:shd w:val="clear" w:color="auto" w:fill="FFFFFF"/>
            <w:vAlign w:val="center"/>
          </w:tcPr>
          <w:p w14:paraId="0EDFAF39">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14:paraId="1F50352A">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预算执行率=（实际支出资金/实际到位资金）×100%。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实际支出资金：一定时期（本年度或项目期）内项目实际拨付的资金。</w:t>
            </w:r>
          </w:p>
        </w:tc>
      </w:tr>
      <w:tr w14:paraId="4C328E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155" w:type="dxa"/>
            <w:vMerge w:val="restart"/>
            <w:tcBorders>
              <w:tl2br w:val="nil"/>
              <w:tr2bl w:val="nil"/>
            </w:tcBorders>
            <w:shd w:val="clear" w:color="auto" w:fill="FFFFFF"/>
            <w:vAlign w:val="center"/>
          </w:tcPr>
          <w:p w14:paraId="6039B65F">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过程</w:t>
            </w:r>
          </w:p>
        </w:tc>
        <w:tc>
          <w:tcPr>
            <w:tcW w:w="1199" w:type="dxa"/>
            <w:tcBorders>
              <w:tl2br w:val="nil"/>
              <w:tr2bl w:val="nil"/>
            </w:tcBorders>
            <w:shd w:val="clear" w:color="auto" w:fill="FFFFFF"/>
            <w:vAlign w:val="center"/>
          </w:tcPr>
          <w:p w14:paraId="15B30B08">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1411" w:type="dxa"/>
            <w:tcBorders>
              <w:tl2br w:val="nil"/>
              <w:tr2bl w:val="nil"/>
            </w:tcBorders>
            <w:shd w:val="clear" w:color="auto" w:fill="FFFFFF"/>
            <w:vAlign w:val="center"/>
          </w:tcPr>
          <w:p w14:paraId="1C270409">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资金使用</w:t>
            </w:r>
          </w:p>
          <w:p w14:paraId="020B57BA">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合规性</w:t>
            </w:r>
          </w:p>
        </w:tc>
        <w:tc>
          <w:tcPr>
            <w:tcW w:w="2789" w:type="dxa"/>
            <w:tcBorders>
              <w:tl2br w:val="nil"/>
              <w:tr2bl w:val="nil"/>
            </w:tcBorders>
            <w:shd w:val="clear" w:color="000000" w:fill="FFFFFF"/>
            <w:vAlign w:val="center"/>
          </w:tcPr>
          <w:p w14:paraId="10283AC8">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238592DC">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①是否符合国家财经法规和财务管理制度以及有关专项资金管理办法的规定；</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②资金的拨付是否有完整的审批程序和手续；</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③是否符合项目预算批复或合同规定的用途；</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④是否存在截留、挤占、挪用、虚列支出等情况。</w:t>
            </w:r>
          </w:p>
        </w:tc>
      </w:tr>
      <w:tr w14:paraId="1F35997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64E9544D">
            <w:pPr>
              <w:ind w:firstLine="0" w:firstLineChars="0"/>
              <w:jc w:val="center"/>
              <w:rPr>
                <w:rFonts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14:paraId="21FAE4CF">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组织实施</w:t>
            </w:r>
          </w:p>
        </w:tc>
        <w:tc>
          <w:tcPr>
            <w:tcW w:w="1411" w:type="dxa"/>
            <w:tcBorders>
              <w:tl2br w:val="nil"/>
              <w:tr2bl w:val="nil"/>
            </w:tcBorders>
            <w:shd w:val="clear" w:color="auto" w:fill="FFFFFF"/>
            <w:vAlign w:val="center"/>
          </w:tcPr>
          <w:p w14:paraId="362EE730">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管理制度</w:t>
            </w:r>
          </w:p>
          <w:p w14:paraId="14AC79E2">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健全性</w:t>
            </w:r>
          </w:p>
        </w:tc>
        <w:tc>
          <w:tcPr>
            <w:tcW w:w="2789" w:type="dxa"/>
            <w:tcBorders>
              <w:tl2br w:val="nil"/>
              <w:tr2bl w:val="nil"/>
            </w:tcBorders>
            <w:shd w:val="clear" w:color="000000" w:fill="FFFFFF"/>
            <w:vAlign w:val="center"/>
          </w:tcPr>
          <w:p w14:paraId="3D9E8FA9">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5A4391D6">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①是否已制定或具有相应的财务和业务管理制度；</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②财务和业务管理制度是否合法、合规、完整。</w:t>
            </w:r>
          </w:p>
        </w:tc>
      </w:tr>
      <w:tr w14:paraId="088DBB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16D1866A">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134E38E4">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2F336739">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制度执行</w:t>
            </w:r>
          </w:p>
          <w:p w14:paraId="7C6B2CC3">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有效性</w:t>
            </w:r>
          </w:p>
        </w:tc>
        <w:tc>
          <w:tcPr>
            <w:tcW w:w="2789" w:type="dxa"/>
            <w:tcBorders>
              <w:tl2br w:val="nil"/>
              <w:tr2bl w:val="nil"/>
            </w:tcBorders>
            <w:shd w:val="clear" w:color="000000" w:fill="FFFFFF"/>
            <w:vAlign w:val="center"/>
          </w:tcPr>
          <w:p w14:paraId="48CA104E">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7CA155FE">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①是否遵守相关法律法规和相关管理规定；</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②项目调整及支出调整手续是否完备；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③项目合同书、验收报告、技术鉴定等资料是否齐全并及时归档；</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④项目实施的人员条件、场地设备、信息支撑等是否落实到位。</w:t>
            </w:r>
          </w:p>
        </w:tc>
      </w:tr>
      <w:tr w14:paraId="382076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0" w:hRule="atLeast"/>
          <w:jc w:val="center"/>
        </w:trPr>
        <w:tc>
          <w:tcPr>
            <w:tcW w:w="1155" w:type="dxa"/>
            <w:vMerge w:val="restart"/>
            <w:tcBorders>
              <w:tl2br w:val="nil"/>
              <w:tr2bl w:val="nil"/>
            </w:tcBorders>
            <w:shd w:val="clear" w:color="auto" w:fill="FFFFFF"/>
            <w:vAlign w:val="center"/>
          </w:tcPr>
          <w:p w14:paraId="0DD3E016">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w:t>
            </w:r>
          </w:p>
        </w:tc>
        <w:tc>
          <w:tcPr>
            <w:tcW w:w="1199" w:type="dxa"/>
            <w:vMerge w:val="restart"/>
            <w:tcBorders>
              <w:tl2br w:val="nil"/>
              <w:tr2bl w:val="nil"/>
            </w:tcBorders>
            <w:shd w:val="clear" w:color="auto" w:fill="FFFFFF"/>
            <w:vAlign w:val="center"/>
          </w:tcPr>
          <w:p w14:paraId="44027DB8">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产出数量</w:t>
            </w:r>
          </w:p>
        </w:tc>
        <w:tc>
          <w:tcPr>
            <w:tcW w:w="1411" w:type="dxa"/>
            <w:tcBorders>
              <w:tl2br w:val="nil"/>
              <w:tr2bl w:val="nil"/>
            </w:tcBorders>
            <w:shd w:val="clear" w:color="auto" w:fill="FFFFFF"/>
          </w:tcPr>
          <w:p w14:paraId="4BE99F2A">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一般社区个数</w:t>
            </w:r>
          </w:p>
        </w:tc>
        <w:tc>
          <w:tcPr>
            <w:tcW w:w="2789" w:type="dxa"/>
            <w:vMerge w:val="restart"/>
            <w:tcBorders>
              <w:tl2br w:val="nil"/>
              <w:tr2bl w:val="nil"/>
            </w:tcBorders>
            <w:shd w:val="clear" w:color="000000" w:fill="FFFFFF"/>
            <w:vAlign w:val="center"/>
          </w:tcPr>
          <w:p w14:paraId="275373AD">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0EEB0FF7">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实际完成率=（实际产出数/计划产出数）×100%。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实际产出数：一定时期（本年度或项目期）内项目实际产出的产品或提供的服务数量。</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计划产出数：项目绩效目标确定的在一定时期（本年度或项目期）内计划产出的产品或提供的服务数量。</w:t>
            </w:r>
          </w:p>
        </w:tc>
      </w:tr>
      <w:tr w14:paraId="49DC2E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35" w:hRule="atLeast"/>
          <w:jc w:val="center"/>
        </w:trPr>
        <w:tc>
          <w:tcPr>
            <w:tcW w:w="1155" w:type="dxa"/>
            <w:vMerge w:val="continue"/>
            <w:tcBorders>
              <w:tl2br w:val="nil"/>
              <w:tr2bl w:val="nil"/>
            </w:tcBorders>
            <w:shd w:val="clear" w:color="auto" w:fill="FFFFFF"/>
            <w:vAlign w:val="center"/>
          </w:tcPr>
          <w:p w14:paraId="05779FF6">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0409C0B4">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14:paraId="7A4D243E">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市重点社区个数</w:t>
            </w:r>
          </w:p>
        </w:tc>
        <w:tc>
          <w:tcPr>
            <w:tcW w:w="2789" w:type="dxa"/>
            <w:vMerge w:val="continue"/>
            <w:tcBorders>
              <w:tl2br w:val="nil"/>
              <w:tr2bl w:val="nil"/>
            </w:tcBorders>
            <w:shd w:val="clear" w:color="000000" w:fill="FFFFFF"/>
            <w:vAlign w:val="center"/>
          </w:tcPr>
          <w:p w14:paraId="77DDBCF5">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503F1DD8">
            <w:pPr>
              <w:widowControl/>
              <w:ind w:firstLine="0" w:firstLineChars="0"/>
              <w:rPr>
                <w:rFonts w:ascii="宋体" w:hAnsi="宋体" w:eastAsia="宋体" w:cs="宋体"/>
                <w:color w:val="auto"/>
                <w:kern w:val="0"/>
                <w:sz w:val="22"/>
                <w:highlight w:val="none"/>
              </w:rPr>
            </w:pPr>
          </w:p>
        </w:tc>
      </w:tr>
      <w:tr w14:paraId="748981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13" w:hRule="atLeast"/>
          <w:jc w:val="center"/>
        </w:trPr>
        <w:tc>
          <w:tcPr>
            <w:tcW w:w="1155" w:type="dxa"/>
            <w:vMerge w:val="restart"/>
            <w:tcBorders>
              <w:tl2br w:val="nil"/>
              <w:tr2bl w:val="nil"/>
            </w:tcBorders>
            <w:shd w:val="clear" w:color="auto" w:fill="FFFFFF"/>
            <w:vAlign w:val="center"/>
          </w:tcPr>
          <w:p w14:paraId="082E622F">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w:t>
            </w:r>
          </w:p>
        </w:tc>
        <w:tc>
          <w:tcPr>
            <w:tcW w:w="1199" w:type="dxa"/>
            <w:tcBorders>
              <w:tl2br w:val="nil"/>
              <w:tr2bl w:val="nil"/>
            </w:tcBorders>
            <w:shd w:val="clear" w:color="auto" w:fill="FFFFFF"/>
            <w:vAlign w:val="center"/>
          </w:tcPr>
          <w:p w14:paraId="3AF323E8">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产出质量</w:t>
            </w:r>
          </w:p>
        </w:tc>
        <w:tc>
          <w:tcPr>
            <w:tcW w:w="1411" w:type="dxa"/>
            <w:tcBorders>
              <w:tl2br w:val="nil"/>
              <w:tr2bl w:val="nil"/>
            </w:tcBorders>
            <w:shd w:val="clear" w:color="auto" w:fill="FFFFFF"/>
            <w:vAlign w:val="center"/>
          </w:tcPr>
          <w:p w14:paraId="650F622A">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社区经费支付准确率</w:t>
            </w:r>
          </w:p>
        </w:tc>
        <w:tc>
          <w:tcPr>
            <w:tcW w:w="2789" w:type="dxa"/>
            <w:tcBorders>
              <w:tl2br w:val="nil"/>
              <w:tr2bl w:val="nil"/>
            </w:tcBorders>
            <w:shd w:val="clear" w:color="000000" w:fill="FFFFFF"/>
            <w:vAlign w:val="center"/>
          </w:tcPr>
          <w:p w14:paraId="5CBF9EE3">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4033451D">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质量达标率=（质量达标产出数/实际产出数）×100%。</w:t>
            </w:r>
          </w:p>
          <w:p w14:paraId="513209AB">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2302C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18" w:hRule="atLeast"/>
          <w:jc w:val="center"/>
        </w:trPr>
        <w:tc>
          <w:tcPr>
            <w:tcW w:w="1155" w:type="dxa"/>
            <w:vMerge w:val="continue"/>
            <w:tcBorders>
              <w:tl2br w:val="nil"/>
              <w:tr2bl w:val="nil"/>
            </w:tcBorders>
            <w:shd w:val="clear" w:color="auto" w:fill="FFFFFF"/>
            <w:vAlign w:val="center"/>
          </w:tcPr>
          <w:p w14:paraId="6AA5A591">
            <w:pPr>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14:paraId="516C28F5">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产出时效</w:t>
            </w:r>
          </w:p>
        </w:tc>
        <w:tc>
          <w:tcPr>
            <w:tcW w:w="1411" w:type="dxa"/>
            <w:tcBorders>
              <w:tl2br w:val="nil"/>
              <w:tr2bl w:val="nil"/>
            </w:tcBorders>
            <w:shd w:val="clear" w:color="auto" w:fill="FFFFFF"/>
            <w:vAlign w:val="center"/>
          </w:tcPr>
          <w:p w14:paraId="1DA02A73">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社区经费支付及时率</w:t>
            </w:r>
          </w:p>
        </w:tc>
        <w:tc>
          <w:tcPr>
            <w:tcW w:w="2789" w:type="dxa"/>
            <w:tcBorders>
              <w:tl2br w:val="nil"/>
              <w:tr2bl w:val="nil"/>
            </w:tcBorders>
            <w:shd w:val="clear" w:color="000000" w:fill="FFFFFF"/>
            <w:vAlign w:val="center"/>
          </w:tcPr>
          <w:p w14:paraId="0BF9EB8E">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1C211424">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实际完成时间：项目实施单位完成该项目实际所耗用的时间。</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计划完成时间：按照项目实施计划或相关规定完成该项目所需的时间。</w:t>
            </w:r>
          </w:p>
        </w:tc>
      </w:tr>
      <w:tr w14:paraId="5A88C9F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56" w:hRule="atLeast"/>
          <w:jc w:val="center"/>
        </w:trPr>
        <w:tc>
          <w:tcPr>
            <w:tcW w:w="1155" w:type="dxa"/>
            <w:vMerge w:val="continue"/>
            <w:tcBorders>
              <w:tl2br w:val="nil"/>
              <w:tr2bl w:val="nil"/>
            </w:tcBorders>
            <w:shd w:val="clear" w:color="auto" w:fill="FFFFFF"/>
            <w:vAlign w:val="center"/>
          </w:tcPr>
          <w:p w14:paraId="1C6515A8">
            <w:pPr>
              <w:widowControl/>
              <w:ind w:firstLine="0" w:firstLineChars="0"/>
              <w:jc w:val="center"/>
              <w:rPr>
                <w:rFonts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14:paraId="05669C2D">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产出成本</w:t>
            </w:r>
          </w:p>
        </w:tc>
        <w:tc>
          <w:tcPr>
            <w:tcW w:w="1411" w:type="dxa"/>
            <w:tcBorders>
              <w:tl2br w:val="nil"/>
              <w:tr2bl w:val="nil"/>
            </w:tcBorders>
            <w:shd w:val="clear" w:color="auto" w:fill="FFFFFF"/>
            <w:vAlign w:val="center"/>
          </w:tcPr>
          <w:p w14:paraId="6E4B3D70">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社区日常公用开支经费</w:t>
            </w:r>
          </w:p>
        </w:tc>
        <w:tc>
          <w:tcPr>
            <w:tcW w:w="2789" w:type="dxa"/>
            <w:vMerge w:val="restart"/>
            <w:tcBorders>
              <w:tl2br w:val="nil"/>
              <w:tr2bl w:val="nil"/>
            </w:tcBorders>
            <w:shd w:val="clear" w:color="000000" w:fill="FFFFFF"/>
            <w:vAlign w:val="center"/>
          </w:tcPr>
          <w:p w14:paraId="2E53D132">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24222726">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成本节约率=[（计划成本-实际成本）/计划成本]×100%。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14:paraId="124879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56" w:hRule="atLeast"/>
          <w:jc w:val="center"/>
        </w:trPr>
        <w:tc>
          <w:tcPr>
            <w:tcW w:w="1155" w:type="dxa"/>
            <w:vMerge w:val="continue"/>
            <w:tcBorders>
              <w:tl2br w:val="nil"/>
              <w:tr2bl w:val="nil"/>
            </w:tcBorders>
            <w:shd w:val="clear" w:color="auto" w:fill="FFFFFF"/>
            <w:vAlign w:val="center"/>
          </w:tcPr>
          <w:p w14:paraId="7E0FBB57">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27D69E11">
            <w:pPr>
              <w:widowControl/>
              <w:ind w:firstLine="0" w:firstLineChars="0"/>
              <w:jc w:val="center"/>
              <w:rPr>
                <w:rFonts w:hint="eastAsia"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4AB71632">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社区开展各项群众活动经费</w:t>
            </w:r>
          </w:p>
        </w:tc>
        <w:tc>
          <w:tcPr>
            <w:tcW w:w="2789" w:type="dxa"/>
            <w:vMerge w:val="continue"/>
            <w:tcBorders>
              <w:tl2br w:val="nil"/>
              <w:tr2bl w:val="nil"/>
            </w:tcBorders>
            <w:shd w:val="clear" w:color="000000" w:fill="FFFFFF"/>
            <w:vAlign w:val="center"/>
          </w:tcPr>
          <w:p w14:paraId="4BCB5CE4">
            <w:pPr>
              <w:widowControl/>
              <w:ind w:firstLine="0" w:firstLineChars="0"/>
              <w:jc w:val="center"/>
              <w:rPr>
                <w:rFonts w:hint="eastAsia"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2411C239">
            <w:pPr>
              <w:widowControl/>
              <w:ind w:firstLine="0" w:firstLineChars="0"/>
              <w:jc w:val="center"/>
              <w:rPr>
                <w:rFonts w:hint="eastAsia" w:ascii="宋体" w:hAnsi="宋体" w:eastAsia="宋体" w:cs="宋体"/>
                <w:color w:val="auto"/>
                <w:kern w:val="0"/>
                <w:sz w:val="22"/>
                <w:highlight w:val="none"/>
              </w:rPr>
            </w:pPr>
          </w:p>
        </w:tc>
      </w:tr>
      <w:tr w14:paraId="7CFFC1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51" w:hRule="atLeast"/>
          <w:jc w:val="center"/>
        </w:trPr>
        <w:tc>
          <w:tcPr>
            <w:tcW w:w="1155" w:type="dxa"/>
            <w:vMerge w:val="continue"/>
            <w:tcBorders>
              <w:tl2br w:val="nil"/>
              <w:tr2bl w:val="nil"/>
            </w:tcBorders>
            <w:shd w:val="clear" w:color="auto" w:fill="FFFFFF"/>
            <w:vAlign w:val="center"/>
          </w:tcPr>
          <w:p w14:paraId="4DBF9FA8">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14:paraId="728D48E1">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14:paraId="7F693EF4">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社区化解各类欠款经费</w:t>
            </w:r>
          </w:p>
        </w:tc>
        <w:tc>
          <w:tcPr>
            <w:tcW w:w="2789" w:type="dxa"/>
            <w:vMerge w:val="continue"/>
            <w:tcBorders>
              <w:tl2br w:val="nil"/>
              <w:tr2bl w:val="nil"/>
            </w:tcBorders>
            <w:shd w:val="clear" w:color="000000" w:fill="FFFFFF"/>
            <w:vAlign w:val="center"/>
          </w:tcPr>
          <w:p w14:paraId="489AAA4C">
            <w:pPr>
              <w:widowControl/>
              <w:ind w:firstLine="0" w:firstLineChars="0"/>
              <w:jc w:val="center"/>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14:paraId="6467A936">
            <w:pPr>
              <w:widowControl/>
              <w:ind w:firstLine="0" w:firstLineChars="0"/>
              <w:jc w:val="center"/>
              <w:rPr>
                <w:rFonts w:ascii="宋体" w:hAnsi="宋体" w:eastAsia="宋体" w:cs="宋体"/>
                <w:color w:val="auto"/>
                <w:kern w:val="0"/>
                <w:sz w:val="22"/>
                <w:highlight w:val="none"/>
              </w:rPr>
            </w:pPr>
          </w:p>
        </w:tc>
      </w:tr>
      <w:tr w14:paraId="421CB9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294B214F">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效益</w:t>
            </w:r>
          </w:p>
        </w:tc>
        <w:tc>
          <w:tcPr>
            <w:tcW w:w="1199" w:type="dxa"/>
            <w:tcBorders>
              <w:tl2br w:val="nil"/>
              <w:tr2bl w:val="nil"/>
            </w:tcBorders>
            <w:shd w:val="clear" w:color="auto" w:fill="FFFFFF"/>
            <w:vAlign w:val="center"/>
          </w:tcPr>
          <w:p w14:paraId="7BD84587">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社会效益指标</w:t>
            </w:r>
          </w:p>
        </w:tc>
        <w:tc>
          <w:tcPr>
            <w:tcW w:w="1411" w:type="dxa"/>
            <w:tcBorders>
              <w:tl2br w:val="nil"/>
              <w:tr2bl w:val="nil"/>
            </w:tcBorders>
            <w:shd w:val="clear" w:color="auto" w:fill="FFFFFF"/>
            <w:vAlign w:val="center"/>
          </w:tcPr>
          <w:p w14:paraId="1E7FA09E">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促进社会稳定和长治久安</w:t>
            </w:r>
          </w:p>
        </w:tc>
        <w:tc>
          <w:tcPr>
            <w:tcW w:w="2789" w:type="dxa"/>
            <w:tcBorders>
              <w:tl2br w:val="nil"/>
              <w:tr2bl w:val="nil"/>
            </w:tcBorders>
            <w:shd w:val="clear" w:color="auto" w:fill="FFFFFF"/>
            <w:vAlign w:val="center"/>
          </w:tcPr>
          <w:p w14:paraId="6A78539C">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项目实施所产生的效益。</w:t>
            </w:r>
          </w:p>
        </w:tc>
        <w:tc>
          <w:tcPr>
            <w:tcW w:w="7341" w:type="dxa"/>
            <w:tcBorders>
              <w:tl2br w:val="nil"/>
              <w:tr2bl w:val="nil"/>
            </w:tcBorders>
            <w:shd w:val="clear" w:color="auto" w:fill="FFFFFF"/>
            <w:vAlign w:val="center"/>
          </w:tcPr>
          <w:p w14:paraId="5A20A408">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项目实施所产生的社会效益、经济效益、生态效益、可持续影响等。可根据项目实际情况有选择地设置和细化。</w:t>
            </w:r>
          </w:p>
        </w:tc>
      </w:tr>
      <w:tr w14:paraId="5B08C0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44EF2969">
            <w:pPr>
              <w:widowControl/>
              <w:ind w:firstLine="0" w:firstLineChars="0"/>
              <w:jc w:val="center"/>
              <w:rPr>
                <w:rFonts w:ascii="宋体" w:hAnsi="宋体" w:eastAsia="宋体" w:cs="宋体"/>
                <w:color w:val="auto"/>
                <w:kern w:val="0"/>
                <w:sz w:val="22"/>
                <w:highlight w:val="none"/>
              </w:rPr>
            </w:pPr>
            <w:r>
              <w:rPr>
                <w:rFonts w:ascii="宋体" w:hAnsi="宋体" w:eastAsia="宋体" w:cs="宋体"/>
                <w:color w:val="auto"/>
                <w:kern w:val="0"/>
                <w:sz w:val="22"/>
                <w:highlight w:val="none"/>
              </w:rPr>
              <w:t>满意度指标完成情况分析</w:t>
            </w:r>
          </w:p>
        </w:tc>
        <w:tc>
          <w:tcPr>
            <w:tcW w:w="1199" w:type="dxa"/>
            <w:tcBorders>
              <w:tl2br w:val="nil"/>
              <w:tr2bl w:val="nil"/>
            </w:tcBorders>
            <w:shd w:val="clear" w:color="auto" w:fill="FFFFFF"/>
            <w:vAlign w:val="center"/>
          </w:tcPr>
          <w:p w14:paraId="3AD5A4E4">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满意度指标</w:t>
            </w:r>
          </w:p>
        </w:tc>
        <w:tc>
          <w:tcPr>
            <w:tcW w:w="1411" w:type="dxa"/>
            <w:tcBorders>
              <w:tl2br w:val="nil"/>
              <w:tr2bl w:val="nil"/>
            </w:tcBorders>
            <w:shd w:val="clear" w:color="auto" w:fill="FFFFFF"/>
            <w:vAlign w:val="center"/>
          </w:tcPr>
          <w:p w14:paraId="1FC41BBD">
            <w:pPr>
              <w:widowControl/>
              <w:ind w:firstLine="0" w:firstLineChars="0"/>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辖区居民满意度</w:t>
            </w:r>
          </w:p>
        </w:tc>
        <w:tc>
          <w:tcPr>
            <w:tcW w:w="2789" w:type="dxa"/>
            <w:tcBorders>
              <w:tl2br w:val="nil"/>
              <w:tr2bl w:val="nil"/>
            </w:tcBorders>
            <w:shd w:val="clear" w:color="000000" w:fill="FFFFFF"/>
            <w:vAlign w:val="center"/>
          </w:tcPr>
          <w:p w14:paraId="602ADBC0">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14:paraId="18194392">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社会公众或服务对象是指因该项目实施而受到影响的部门（单位）、群体或个人。一般采取社会调查的方式。</w:t>
            </w:r>
          </w:p>
        </w:tc>
      </w:tr>
    </w:tbl>
    <w:p w14:paraId="07F8F0C3">
      <w:pPr>
        <w:rPr>
          <w:rFonts w:hint="eastAsia"/>
        </w:rPr>
      </w:pPr>
    </w:p>
    <w:p w14:paraId="3C202A58">
      <w:pPr>
        <w:rPr>
          <w:rFonts w:hint="eastAsia" w:ascii="Times New Roman" w:hAnsi="Times New Roman" w:eastAsia="仿宋_GB2312"/>
          <w:b w:val="0"/>
          <w:bCs w:val="0"/>
        </w:rPr>
      </w:pPr>
    </w:p>
    <w:p w14:paraId="2E17CA3D">
      <w:pPr>
        <w:rPr>
          <w:rFonts w:hint="eastAsia" w:ascii="Times New Roman" w:hAnsi="Times New Roman" w:eastAsia="仿宋_GB2312"/>
          <w:b w:val="0"/>
          <w:bCs w:val="0"/>
        </w:rPr>
      </w:pPr>
    </w:p>
    <w:p w14:paraId="71338EB4">
      <w:pPr>
        <w:rPr>
          <w:rFonts w:hint="eastAsia" w:ascii="Times New Roman" w:hAnsi="Times New Roman" w:eastAsia="仿宋_GB2312"/>
          <w:b w:val="0"/>
          <w:bCs w:val="0"/>
        </w:rPr>
      </w:pPr>
    </w:p>
    <w:p w14:paraId="15E37635">
      <w:pPr>
        <w:rPr>
          <w:rFonts w:hint="eastAsia" w:ascii="Times New Roman" w:hAnsi="Times New Roman" w:eastAsia="仿宋_GB2312"/>
          <w:b w:val="0"/>
          <w:bCs w:val="0"/>
        </w:rPr>
      </w:pPr>
    </w:p>
    <w:p w14:paraId="6EDB58E1">
      <w:pPr>
        <w:pStyle w:val="23"/>
        <w:spacing w:line="560" w:lineRule="exact"/>
        <w:ind w:firstLine="640"/>
        <w:rPr>
          <w:rFonts w:hint="eastAsia" w:ascii="仿宋_GB2312" w:hAnsi="仿宋_GB2312" w:eastAsia="仿宋_GB2312" w:cs="仿宋_GB2312"/>
          <w:b/>
          <w:bCs/>
          <w:sz w:val="32"/>
          <w:szCs w:val="32"/>
        </w:rPr>
        <w:sectPr>
          <w:pgSz w:w="16838" w:h="11906" w:orient="landscape"/>
          <w:pgMar w:top="1800" w:right="1440" w:bottom="1558" w:left="1440" w:header="851" w:footer="992" w:gutter="0"/>
          <w:pgNumType w:start="1"/>
          <w:cols w:space="425" w:num="1"/>
          <w:docGrid w:type="lines" w:linePitch="312" w:charSpace="0"/>
        </w:sectPr>
      </w:pPr>
    </w:p>
    <w:p w14:paraId="4BD6AE90">
      <w:pPr>
        <w:pStyle w:val="23"/>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0EC592F7">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《关于印发&lt;项目支出绩效评价管理办法&gt;的通知》（财预〔2020〕10号）文件指出部门评价的方法主要包括成本效益分析法、比较法、因素分析法、最低成本法、公众评判法、标杆管理法等。</w:t>
      </w:r>
    </w:p>
    <w:p w14:paraId="4656D447">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（1）成本效益分析法。是指将投入与产出、效益进行关联性分析的方法。</w:t>
      </w:r>
    </w:p>
    <w:p w14:paraId="1F9D52A4">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（2）比较法。是指将实施情况与绩效目标、历史情况、不同部门和地区同类支出情况进行比较的方法。</w:t>
      </w:r>
    </w:p>
    <w:p w14:paraId="0277A6C1">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（3）因素分析法。是指综合分析影响绩效目标实现、实施效果的内外部因素的方法。</w:t>
      </w:r>
    </w:p>
    <w:p w14:paraId="03A85FCD">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（4）最低成本法。是指在绩效目标确定的前提下，成本最小者为优的方法。</w:t>
      </w:r>
    </w:p>
    <w:p w14:paraId="1E2577A6">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（5）公众评判法。是指通过专家评估、公众问卷及抽样调查等方式进行评判的方法。</w:t>
      </w:r>
    </w:p>
    <w:p w14:paraId="0ACDAD44">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（6）标杆管理法。是指以国内外同行业中较高的绩效水平为标杆进行评判的方法。</w:t>
      </w:r>
    </w:p>
    <w:p w14:paraId="5EF8CF17">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（7）其他评价方法。</w:t>
      </w:r>
    </w:p>
    <w:p w14:paraId="23607E19">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根据本项目（</w:t>
      </w:r>
      <w:r>
        <w:rPr>
          <w:rFonts w:hint="eastAsia" w:ascii="Times New Roman" w:hAnsi="Times New Roman" w:eastAsia="仿宋_GB2312" w:cs="Times New Roman"/>
          <w:sz w:val="32"/>
          <w:szCs w:val="32"/>
          <w:lang w:val="en-US" w:eastAsia="zh-CN"/>
        </w:rPr>
        <w:t>社区经费80%</w:t>
      </w:r>
      <w:r>
        <w:rPr>
          <w:rFonts w:hint="eastAsia" w:ascii="Times New Roman" w:hAnsi="Times New Roman" w:eastAsia="仿宋_GB2312" w:cs="Times New Roman"/>
          <w:sz w:val="32"/>
          <w:szCs w:val="32"/>
        </w:rPr>
        <w:t>）的特点，本次评价主要采用比较法和公众评判法，对项目总预算和明细预算的内容、标准、计划是否经济合理进行深入分析，以考察实际产出和效益是否达到预期。</w:t>
      </w:r>
    </w:p>
    <w:p w14:paraId="509585D8">
      <w:pPr>
        <w:pStyle w:val="23"/>
        <w:spacing w:line="560" w:lineRule="exact"/>
        <w:ind w:firstLine="640" w:firstLineChars="200"/>
        <w:rPr>
          <w:rFonts w:hint="eastAsia" w:ascii="Times New Roman" w:hAnsi="Times New Roman" w:eastAsia="仿宋_GB2312" w:cs="Times New Roman"/>
          <w:sz w:val="32"/>
          <w:szCs w:val="32"/>
        </w:rPr>
      </w:pPr>
    </w:p>
    <w:p w14:paraId="0CCBC1C6">
      <w:pPr>
        <w:spacing w:line="560" w:lineRule="exact"/>
        <w:ind w:firstLine="640" w:firstLineChars="200"/>
        <w:rPr>
          <w:rFonts w:hint="eastAsia" w:eastAsia="方正仿宋_GBK" w:cs="方正仿宋_GBK"/>
          <w:sz w:val="32"/>
          <w:szCs w:val="32"/>
        </w:rPr>
      </w:pPr>
    </w:p>
    <w:p w14:paraId="14FDC532">
      <w:pPr>
        <w:pStyle w:val="23"/>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评价标准</w:t>
      </w:r>
    </w:p>
    <w:p w14:paraId="6C4C6872">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绩效评价标准主要包括计划标准、行业标准、历史标准等，用于对绩效指标完成情况进行比较。</w:t>
      </w:r>
    </w:p>
    <w:p w14:paraId="7811561A">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（1）计划标准。指以预先制定的目标、计划、预算、定额等作为评价标准。</w:t>
      </w:r>
    </w:p>
    <w:p w14:paraId="68CF9996">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（2）行业标准。指参照国家公布的行业指标数据制定的评价标准。</w:t>
      </w:r>
    </w:p>
    <w:p w14:paraId="5241A4DE">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（3）历史标准。指参照历史数据制定的评价标准，为体现绩效改进的原则，在可实现的条件下应当确定相对较高的评价标准。</w:t>
      </w:r>
    </w:p>
    <w:p w14:paraId="704C9AF5">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在上述评价标准的基础上，本次评价依据以下文件为重要指导和准绳：</w:t>
      </w:r>
    </w:p>
    <w:p w14:paraId="71249C89">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·《中共中央国务院关于全面实施预算绩效管理的意见》（中发〔2018〕34号）</w:t>
      </w:r>
    </w:p>
    <w:p w14:paraId="5EB0831E">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·《关于印发&lt;乌鲁木齐市本级部门预算绩效目标管理暂行办法&gt;的通知》（乌财预〔2018〕56号）</w:t>
      </w:r>
    </w:p>
    <w:p w14:paraId="2125AD9D">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·《关于做好2019年部门预算项目支出绩效目标管理有关事宜的通知》（乌财预〔2018〕76号）</w:t>
      </w:r>
    </w:p>
    <w:p w14:paraId="40DAEA95">
      <w:pPr>
        <w:pStyle w:val="23"/>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·《项目支出绩效评价管理办法》（财预〔2020〕10号）</w:t>
      </w:r>
    </w:p>
    <w:p w14:paraId="7044EE14">
      <w:pPr>
        <w:pStyle w:val="23"/>
        <w:spacing w:line="560" w:lineRule="exact"/>
        <w:ind w:firstLine="640" w:firstLineChars="200"/>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 xml:space="preserve">《乌鲁木齐市社区工作经费管理使用办法（暂行）》 </w:t>
      </w:r>
    </w:p>
    <w:p w14:paraId="7F682E36">
      <w:pPr>
        <w:pStyle w:val="23"/>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（乌党组办字【</w:t>
      </w:r>
      <w:r>
        <w:rPr>
          <w:rFonts w:hint="default" w:ascii="Times New Roman" w:hAnsi="Times New Roman" w:eastAsia="仿宋_GB2312" w:cs="Times New Roman"/>
          <w:sz w:val="32"/>
          <w:szCs w:val="32"/>
          <w:lang w:val="en-US" w:eastAsia="zh-CN"/>
        </w:rPr>
        <w:t>2012</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 xml:space="preserve">31 </w:t>
      </w:r>
      <w:r>
        <w:rPr>
          <w:rFonts w:hint="eastAsia" w:ascii="Times New Roman" w:hAnsi="Times New Roman" w:eastAsia="仿宋_GB2312" w:cs="Times New Roman"/>
          <w:sz w:val="32"/>
          <w:szCs w:val="32"/>
          <w:lang w:val="en-US" w:eastAsia="zh-CN"/>
        </w:rPr>
        <w:t>号）</w:t>
      </w:r>
    </w:p>
    <w:p w14:paraId="13A24EFD">
      <w:pPr>
        <w:pStyle w:val="23"/>
        <w:spacing w:line="560" w:lineRule="exact"/>
        <w:ind w:firstLine="640" w:firstLineChars="200"/>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 xml:space="preserve">《乌鲁木齐市社区工作经费管理使用办法（暂行）》 </w:t>
      </w:r>
    </w:p>
    <w:p w14:paraId="1A3FD079">
      <w:pPr>
        <w:pStyle w:val="23"/>
        <w:spacing w:line="560" w:lineRule="exact"/>
        <w:ind w:firstLine="640" w:firstLineChars="200"/>
        <w:rPr>
          <w:rFonts w:hint="eastAsia" w:eastAsia="仿宋_GB2312"/>
          <w:bCs/>
          <w:sz w:val="32"/>
          <w:szCs w:val="32"/>
        </w:rPr>
      </w:pPr>
      <w:r>
        <w:rPr>
          <w:rFonts w:hint="eastAsia" w:ascii="Times New Roman" w:hAnsi="Times New Roman" w:eastAsia="仿宋_GB2312" w:cs="Times New Roman"/>
          <w:sz w:val="32"/>
          <w:szCs w:val="32"/>
          <w:lang w:val="en-US" w:eastAsia="zh-CN"/>
        </w:rPr>
        <w:t>的补充通知（乌党组办字【</w:t>
      </w:r>
      <w:r>
        <w:rPr>
          <w:rFonts w:hint="default" w:ascii="Times New Roman" w:hAnsi="Times New Roman" w:eastAsia="仿宋_GB2312" w:cs="Times New Roman"/>
          <w:sz w:val="32"/>
          <w:szCs w:val="32"/>
          <w:lang w:val="en-US" w:eastAsia="zh-CN"/>
        </w:rPr>
        <w:t>2015</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 xml:space="preserve">6 </w:t>
      </w:r>
      <w:r>
        <w:rPr>
          <w:rFonts w:hint="eastAsia" w:ascii="Times New Roman" w:hAnsi="Times New Roman" w:eastAsia="仿宋_GB2312" w:cs="Times New Roman"/>
          <w:sz w:val="32"/>
          <w:szCs w:val="32"/>
          <w:lang w:val="en-US" w:eastAsia="zh-CN"/>
        </w:rPr>
        <w:t>号）</w:t>
      </w:r>
    </w:p>
    <w:p w14:paraId="3EDCB0B3">
      <w:pPr>
        <w:pStyle w:val="12"/>
        <w:numPr>
          <w:ilvl w:val="0"/>
          <w:numId w:val="2"/>
        </w:numPr>
        <w:spacing w:before="0" w:after="0" w:line="560" w:lineRule="exact"/>
        <w:ind w:firstLine="711" w:firstLineChars="200"/>
        <w:jc w:val="both"/>
        <w:rPr>
          <w:rFonts w:hint="eastAsia" w:ascii="楷体_GB2312" w:hAnsi="楷体_GB2312" w:eastAsia="楷体_GB2312" w:cs="楷体_GB2312"/>
          <w:color w:val="000000"/>
          <w:spacing w:val="17"/>
        </w:rPr>
      </w:pPr>
      <w:r>
        <w:rPr>
          <w:rFonts w:hint="eastAsia" w:ascii="楷体_GB2312" w:hAnsi="楷体_GB2312" w:eastAsia="楷体_GB2312" w:cs="楷体_GB2312"/>
          <w:color w:val="000000"/>
          <w:spacing w:val="17"/>
        </w:rPr>
        <w:t>绩效评价工作过程</w:t>
      </w:r>
    </w:p>
    <w:p w14:paraId="4A1756F9">
      <w:pPr>
        <w:spacing w:line="600" w:lineRule="exact"/>
        <w:ind w:firstLine="640" w:firstLineChars="200"/>
        <w:rPr>
          <w:rFonts w:hint="eastAsia" w:ascii="仿宋_GB2312" w:hAnsi="Calibri" w:eastAsia="仿宋_GB2312" w:cs="黑体"/>
          <w:bCs/>
          <w:sz w:val="32"/>
          <w:szCs w:val="32"/>
          <w:lang w:val="en-US" w:eastAsia="zh-CN"/>
        </w:rPr>
      </w:pPr>
      <w:r>
        <w:rPr>
          <w:rFonts w:hint="eastAsia" w:ascii="仿宋_GB2312" w:hAnsi="Calibri" w:eastAsia="仿宋_GB2312" w:cs="黑体"/>
          <w:bCs/>
          <w:sz w:val="32"/>
          <w:szCs w:val="32"/>
          <w:lang w:val="en-US" w:eastAsia="zh-C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3721ED15">
      <w:pPr>
        <w:numPr>
          <w:ilvl w:val="0"/>
          <w:numId w:val="3"/>
        </w:numPr>
        <w:spacing w:line="560" w:lineRule="exact"/>
        <w:ind w:firstLine="640" w:firstLineChars="200"/>
        <w:rPr>
          <w:rFonts w:eastAsia="黑体"/>
          <w:sz w:val="32"/>
          <w:szCs w:val="32"/>
        </w:rPr>
      </w:pPr>
      <w:bookmarkStart w:id="0" w:name="_Toc67911608"/>
      <w:bookmarkStart w:id="1" w:name="_Toc196487549"/>
      <w:r>
        <w:rPr>
          <w:rFonts w:hint="eastAsia" w:eastAsia="黑体"/>
          <w:sz w:val="32"/>
          <w:szCs w:val="32"/>
        </w:rPr>
        <w:t>综合评价情况及评价结论</w:t>
      </w:r>
      <w:bookmarkEnd w:id="0"/>
      <w:bookmarkEnd w:id="1"/>
    </w:p>
    <w:p w14:paraId="3E939A50">
      <w:pPr>
        <w:pStyle w:val="12"/>
        <w:spacing w:before="0" w:after="0" w:line="560" w:lineRule="exact"/>
        <w:ind w:firstLine="643" w:firstLineChars="200"/>
        <w:jc w:val="both"/>
        <w:rPr>
          <w:rFonts w:hint="eastAsia" w:ascii="Times New Roman" w:hAnsi="Times New Roman" w:eastAsia="楷体_GB2312"/>
        </w:rPr>
      </w:pPr>
      <w:bookmarkStart w:id="2" w:name="_Toc196487550"/>
      <w:bookmarkStart w:id="3" w:name="_Toc67911609"/>
      <w:r>
        <w:rPr>
          <w:rFonts w:hint="eastAsia" w:ascii="Times New Roman" w:hAnsi="Times New Roman" w:eastAsia="楷体_GB2312"/>
        </w:rPr>
        <w:t>（一）评价结论</w:t>
      </w:r>
      <w:bookmarkEnd w:id="2"/>
      <w:bookmarkEnd w:id="3"/>
    </w:p>
    <w:p w14:paraId="154B6907">
      <w:pPr>
        <w:spacing w:line="600" w:lineRule="exact"/>
        <w:ind w:firstLine="640" w:firstLineChars="200"/>
        <w:rPr>
          <w:rFonts w:hint="eastAsia" w:ascii="仿宋_GB2312" w:hAnsi="Calibri" w:eastAsia="仿宋_GB2312" w:cs="黑体"/>
          <w:bCs/>
          <w:sz w:val="32"/>
          <w:szCs w:val="32"/>
          <w:lang w:val="en-US" w:eastAsia="zh-CN"/>
        </w:rPr>
      </w:pPr>
      <w:r>
        <w:rPr>
          <w:rFonts w:hint="eastAsia" w:ascii="仿宋_GB2312" w:hAnsi="Calibri" w:eastAsia="仿宋_GB2312" w:cs="黑体"/>
          <w:bCs/>
          <w:sz w:val="32"/>
          <w:szCs w:val="32"/>
          <w:lang w:val="en-US" w:eastAsia="zh-CN"/>
        </w:rPr>
        <w:t>结合项目特点，制定符合项目实际的绩效评价指标体系及评分标准，通过数据采集、问卷调查及访谈等形式，对2024年社区经费（80%）项目进行客观评价，最终评分结果为：总分为99.24分，绩效评级为“优”</w:t>
      </w:r>
    </w:p>
    <w:p w14:paraId="56C28DEF">
      <w:pPr>
        <w:spacing w:line="600" w:lineRule="exact"/>
        <w:ind w:firstLine="640" w:firstLineChars="200"/>
        <w:rPr>
          <w:rFonts w:hint="eastAsia" w:ascii="仿宋_GB2312" w:hAnsi="Calibri" w:eastAsia="仿宋_GB2312" w:cs="黑体"/>
          <w:bCs/>
          <w:sz w:val="32"/>
          <w:szCs w:val="32"/>
          <w:lang w:val="en-US" w:eastAsia="zh-CN"/>
        </w:rPr>
      </w:pPr>
      <w:r>
        <w:rPr>
          <w:rFonts w:hint="eastAsia" w:ascii="仿宋_GB2312" w:hAnsi="Calibri" w:eastAsia="仿宋_GB2312" w:cs="黑体"/>
          <w:bCs/>
          <w:sz w:val="32"/>
          <w:szCs w:val="32"/>
          <w:lang w:val="en-US" w:eastAsia="zh-CN"/>
        </w:rPr>
        <w:t>项目各部分权重和绩效分值如附表所示：</w:t>
      </w:r>
    </w:p>
    <w:p w14:paraId="5EC03296">
      <w:pPr>
        <w:spacing w:line="360" w:lineRule="auto"/>
        <w:ind w:firstLine="0" w:firstLineChars="0"/>
        <w:jc w:val="center"/>
        <w:rPr>
          <w:rFonts w:hint="eastAsia" w:ascii="仿宋_GB2312" w:hAnsi="Calibri" w:eastAsia="仿宋_GB2312" w:cs="黑体"/>
          <w:b/>
          <w:bCs/>
          <w:sz w:val="28"/>
          <w:szCs w:val="28"/>
        </w:rPr>
      </w:pPr>
      <w:r>
        <w:rPr>
          <w:rFonts w:hint="eastAsia" w:ascii="仿宋_GB2312" w:hAnsi="Calibri" w:eastAsia="仿宋_GB2312" w:cs="黑体"/>
          <w:b/>
          <w:bCs/>
          <w:sz w:val="28"/>
          <w:szCs w:val="28"/>
        </w:rPr>
        <w:t xml:space="preserve">  项目各部分权重和绩效分值</w:t>
      </w:r>
    </w:p>
    <w:tbl>
      <w:tblPr>
        <w:tblStyle w:val="14"/>
        <w:tblW w:w="906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010DD1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vAlign w:val="center"/>
          </w:tcPr>
          <w:p w14:paraId="1F9185DD">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vAlign w:val="center"/>
          </w:tcPr>
          <w:p w14:paraId="772EDD9C">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vAlign w:val="center"/>
          </w:tcPr>
          <w:p w14:paraId="0136A125">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vAlign w:val="center"/>
          </w:tcPr>
          <w:p w14:paraId="104F0906">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vAlign w:val="center"/>
          </w:tcPr>
          <w:p w14:paraId="7BE8BC4B">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vAlign w:val="center"/>
          </w:tcPr>
          <w:p w14:paraId="0E963270">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796818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1FDDD15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14:paraId="4DB5E56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14:paraId="54D3121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14:paraId="69D31009">
            <w:pPr>
              <w:widowControl/>
              <w:spacing w:line="0" w:lineRule="atLeast"/>
              <w:jc w:val="center"/>
              <w:rPr>
                <w:rFonts w:ascii="仿宋_GB2312" w:hAnsi="宋体" w:cs="宋体"/>
                <w:kern w:val="0"/>
                <w:sz w:val="24"/>
                <w:szCs w:val="24"/>
              </w:rPr>
            </w:pPr>
            <w:r>
              <w:rPr>
                <w:b/>
                <w:bCs/>
                <w:color w:val="000000"/>
                <w:kern w:val="0"/>
                <w:sz w:val="22"/>
                <w:szCs w:val="22"/>
                <w:highlight w:val="none"/>
              </w:rPr>
              <w:t>3</w:t>
            </w:r>
          </w:p>
        </w:tc>
        <w:tc>
          <w:tcPr>
            <w:tcW w:w="898" w:type="dxa"/>
            <w:tcBorders>
              <w:tl2br w:val="nil"/>
              <w:tr2bl w:val="nil"/>
            </w:tcBorders>
            <w:shd w:val="clear" w:color="auto" w:fill="FFFFFF"/>
            <w:vAlign w:val="center"/>
          </w:tcPr>
          <w:p w14:paraId="1C327DB9">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3</w:t>
            </w:r>
          </w:p>
        </w:tc>
        <w:tc>
          <w:tcPr>
            <w:tcW w:w="1039" w:type="dxa"/>
            <w:tcBorders>
              <w:tl2br w:val="nil"/>
              <w:tr2bl w:val="nil"/>
            </w:tcBorders>
            <w:shd w:val="clear" w:color="auto" w:fill="FFFFFF"/>
            <w:vAlign w:val="center"/>
          </w:tcPr>
          <w:p w14:paraId="2350CBCB">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100%</w:t>
            </w:r>
          </w:p>
        </w:tc>
      </w:tr>
      <w:tr w14:paraId="3AE00F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776F646">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4988203B">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245AA91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14:paraId="3B6510A6">
            <w:pPr>
              <w:widowControl/>
              <w:spacing w:line="0" w:lineRule="atLeast"/>
              <w:jc w:val="center"/>
              <w:rPr>
                <w:rFonts w:ascii="仿宋_GB2312" w:hAnsi="宋体" w:cs="宋体"/>
                <w:kern w:val="0"/>
                <w:sz w:val="24"/>
                <w:szCs w:val="24"/>
              </w:rPr>
            </w:pPr>
            <w:r>
              <w:rPr>
                <w:b/>
                <w:bCs/>
                <w:color w:val="000000"/>
                <w:kern w:val="0"/>
                <w:sz w:val="22"/>
                <w:szCs w:val="22"/>
                <w:highlight w:val="none"/>
              </w:rPr>
              <w:t>3</w:t>
            </w:r>
          </w:p>
        </w:tc>
        <w:tc>
          <w:tcPr>
            <w:tcW w:w="898" w:type="dxa"/>
            <w:tcBorders>
              <w:tl2br w:val="nil"/>
              <w:tr2bl w:val="nil"/>
            </w:tcBorders>
            <w:shd w:val="clear" w:color="auto" w:fill="FFFFFF"/>
            <w:vAlign w:val="center"/>
          </w:tcPr>
          <w:p w14:paraId="09ACAB7F">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3</w:t>
            </w:r>
          </w:p>
        </w:tc>
        <w:tc>
          <w:tcPr>
            <w:tcW w:w="1039" w:type="dxa"/>
            <w:tcBorders>
              <w:tl2br w:val="nil"/>
              <w:tr2bl w:val="nil"/>
            </w:tcBorders>
            <w:shd w:val="clear" w:color="auto" w:fill="FFFFFF"/>
            <w:vAlign w:val="center"/>
          </w:tcPr>
          <w:p w14:paraId="4A4DF605">
            <w:pPr>
              <w:widowControl/>
              <w:spacing w:line="0" w:lineRule="atLeast"/>
              <w:jc w:val="center"/>
              <w:rPr>
                <w:rFonts w:ascii="Times New Roman" w:hAnsi="Times New Roman" w:cs="Times New Roman"/>
                <w:b/>
                <w:bCs/>
                <w:color w:val="000000"/>
                <w:kern w:val="0"/>
                <w:sz w:val="22"/>
                <w:szCs w:val="22"/>
                <w:highlight w:val="none"/>
              </w:rPr>
            </w:pPr>
            <w:r>
              <w:rPr>
                <w:rFonts w:hint="eastAsia" w:ascii="Times New Roman" w:hAnsi="Times New Roman" w:cs="Times New Roman"/>
                <w:b/>
                <w:bCs/>
                <w:color w:val="000000"/>
                <w:kern w:val="0"/>
                <w:sz w:val="22"/>
                <w:szCs w:val="22"/>
                <w:highlight w:val="none"/>
                <w:lang w:val="en-US" w:eastAsia="zh-CN"/>
              </w:rPr>
              <w:t>100%</w:t>
            </w:r>
          </w:p>
        </w:tc>
      </w:tr>
      <w:tr w14:paraId="1458E0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4B97B4E">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5E6DD445">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14:paraId="354EE9A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14:paraId="4C6C4B7D">
            <w:pPr>
              <w:widowControl/>
              <w:spacing w:line="0" w:lineRule="atLeast"/>
              <w:jc w:val="center"/>
              <w:rPr>
                <w:rFonts w:ascii="仿宋_GB2312" w:hAnsi="宋体" w:cs="宋体"/>
                <w:kern w:val="0"/>
                <w:sz w:val="24"/>
                <w:szCs w:val="24"/>
              </w:rPr>
            </w:pPr>
            <w:r>
              <w:rPr>
                <w:b/>
                <w:bCs/>
                <w:color w:val="000000"/>
                <w:kern w:val="0"/>
                <w:sz w:val="22"/>
                <w:szCs w:val="22"/>
                <w:highlight w:val="none"/>
              </w:rPr>
              <w:t>3</w:t>
            </w:r>
          </w:p>
        </w:tc>
        <w:tc>
          <w:tcPr>
            <w:tcW w:w="898" w:type="dxa"/>
            <w:tcBorders>
              <w:tl2br w:val="nil"/>
              <w:tr2bl w:val="nil"/>
            </w:tcBorders>
            <w:shd w:val="clear" w:color="000000" w:fill="FFFFFF"/>
            <w:vAlign w:val="center"/>
          </w:tcPr>
          <w:p w14:paraId="2E38E6B7">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3</w:t>
            </w:r>
          </w:p>
        </w:tc>
        <w:tc>
          <w:tcPr>
            <w:tcW w:w="1039" w:type="dxa"/>
            <w:tcBorders>
              <w:tl2br w:val="nil"/>
              <w:tr2bl w:val="nil"/>
            </w:tcBorders>
            <w:shd w:val="clear" w:color="000000" w:fill="FFFFFF"/>
            <w:vAlign w:val="center"/>
          </w:tcPr>
          <w:p w14:paraId="229D3ABC">
            <w:pPr>
              <w:widowControl/>
              <w:spacing w:line="0" w:lineRule="atLeast"/>
              <w:jc w:val="center"/>
              <w:rPr>
                <w:rFonts w:ascii="Times New Roman" w:hAnsi="Times New Roman" w:cs="Times New Roman"/>
                <w:b/>
                <w:bCs/>
                <w:color w:val="000000"/>
                <w:kern w:val="0"/>
                <w:sz w:val="22"/>
                <w:szCs w:val="22"/>
                <w:highlight w:val="none"/>
              </w:rPr>
            </w:pPr>
            <w:r>
              <w:rPr>
                <w:rFonts w:hint="eastAsia" w:ascii="Times New Roman" w:hAnsi="Times New Roman" w:cs="Times New Roman"/>
                <w:b/>
                <w:bCs/>
                <w:color w:val="000000"/>
                <w:kern w:val="0"/>
                <w:sz w:val="22"/>
                <w:szCs w:val="22"/>
                <w:highlight w:val="none"/>
                <w:lang w:val="en-US" w:eastAsia="zh-CN"/>
              </w:rPr>
              <w:t>100%</w:t>
            </w:r>
          </w:p>
        </w:tc>
      </w:tr>
      <w:tr w14:paraId="75313C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C6D0042">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2F286AA">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22C5545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14:paraId="062361C3">
            <w:pPr>
              <w:widowControl/>
              <w:spacing w:line="0" w:lineRule="atLeast"/>
              <w:jc w:val="center"/>
              <w:rPr>
                <w:rFonts w:ascii="仿宋_GB2312" w:hAnsi="宋体" w:cs="宋体"/>
                <w:kern w:val="0"/>
                <w:sz w:val="24"/>
                <w:szCs w:val="24"/>
              </w:rPr>
            </w:pPr>
            <w:r>
              <w:rPr>
                <w:b/>
                <w:bCs/>
                <w:color w:val="000000"/>
                <w:kern w:val="0"/>
                <w:sz w:val="22"/>
                <w:szCs w:val="22"/>
                <w:highlight w:val="none"/>
              </w:rPr>
              <w:t>3</w:t>
            </w:r>
          </w:p>
        </w:tc>
        <w:tc>
          <w:tcPr>
            <w:tcW w:w="898" w:type="dxa"/>
            <w:tcBorders>
              <w:tl2br w:val="nil"/>
              <w:tr2bl w:val="nil"/>
            </w:tcBorders>
            <w:shd w:val="clear" w:color="000000" w:fill="FFFFFF"/>
            <w:vAlign w:val="center"/>
          </w:tcPr>
          <w:p w14:paraId="23A5EE14">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3</w:t>
            </w:r>
          </w:p>
        </w:tc>
        <w:tc>
          <w:tcPr>
            <w:tcW w:w="1039" w:type="dxa"/>
            <w:tcBorders>
              <w:tl2br w:val="nil"/>
              <w:tr2bl w:val="nil"/>
            </w:tcBorders>
            <w:shd w:val="clear" w:color="000000" w:fill="FFFFFF"/>
            <w:vAlign w:val="center"/>
          </w:tcPr>
          <w:p w14:paraId="7A648F86">
            <w:pPr>
              <w:widowControl/>
              <w:spacing w:line="0" w:lineRule="atLeast"/>
              <w:jc w:val="center"/>
              <w:rPr>
                <w:rFonts w:ascii="Times New Roman" w:hAnsi="Times New Roman" w:cs="Times New Roman"/>
                <w:b/>
                <w:bCs/>
                <w:color w:val="000000"/>
                <w:kern w:val="0"/>
                <w:sz w:val="22"/>
                <w:szCs w:val="22"/>
                <w:highlight w:val="none"/>
              </w:rPr>
            </w:pPr>
            <w:r>
              <w:rPr>
                <w:rFonts w:hint="eastAsia" w:ascii="Times New Roman" w:hAnsi="Times New Roman" w:cs="Times New Roman"/>
                <w:b/>
                <w:bCs/>
                <w:color w:val="000000"/>
                <w:kern w:val="0"/>
                <w:sz w:val="22"/>
                <w:szCs w:val="22"/>
                <w:highlight w:val="none"/>
                <w:lang w:val="en-US" w:eastAsia="zh-CN"/>
              </w:rPr>
              <w:t>100%</w:t>
            </w:r>
          </w:p>
        </w:tc>
      </w:tr>
      <w:tr w14:paraId="4370CA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FE3CC7F">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6B7CBFD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14:paraId="1196452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14:paraId="6E146A5D">
            <w:pPr>
              <w:widowControl/>
              <w:spacing w:line="0" w:lineRule="atLeast"/>
              <w:jc w:val="center"/>
              <w:rPr>
                <w:rFonts w:ascii="仿宋_GB2312" w:hAnsi="宋体" w:cs="宋体"/>
                <w:kern w:val="0"/>
                <w:sz w:val="24"/>
                <w:szCs w:val="24"/>
              </w:rPr>
            </w:pPr>
            <w:r>
              <w:rPr>
                <w:b/>
                <w:bCs/>
                <w:color w:val="000000"/>
                <w:kern w:val="0"/>
                <w:sz w:val="22"/>
                <w:szCs w:val="22"/>
                <w:highlight w:val="none"/>
              </w:rPr>
              <w:t>4</w:t>
            </w:r>
          </w:p>
        </w:tc>
        <w:tc>
          <w:tcPr>
            <w:tcW w:w="898" w:type="dxa"/>
            <w:tcBorders>
              <w:tl2br w:val="nil"/>
              <w:tr2bl w:val="nil"/>
            </w:tcBorders>
            <w:shd w:val="clear" w:color="auto" w:fill="FFFFFF"/>
            <w:vAlign w:val="center"/>
          </w:tcPr>
          <w:p w14:paraId="158F5D84">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4</w:t>
            </w:r>
          </w:p>
        </w:tc>
        <w:tc>
          <w:tcPr>
            <w:tcW w:w="1039" w:type="dxa"/>
            <w:tcBorders>
              <w:tl2br w:val="nil"/>
              <w:tr2bl w:val="nil"/>
            </w:tcBorders>
            <w:shd w:val="clear" w:color="auto" w:fill="FFFFFF"/>
            <w:vAlign w:val="center"/>
          </w:tcPr>
          <w:p w14:paraId="3D2B00FE">
            <w:pPr>
              <w:widowControl/>
              <w:spacing w:line="0" w:lineRule="atLeast"/>
              <w:jc w:val="center"/>
              <w:rPr>
                <w:rFonts w:ascii="Times New Roman" w:hAnsi="Times New Roman" w:cs="Times New Roman"/>
                <w:b/>
                <w:bCs/>
                <w:color w:val="000000"/>
                <w:kern w:val="0"/>
                <w:sz w:val="22"/>
                <w:szCs w:val="22"/>
                <w:highlight w:val="none"/>
              </w:rPr>
            </w:pPr>
            <w:r>
              <w:rPr>
                <w:rFonts w:hint="eastAsia" w:ascii="Times New Roman" w:hAnsi="Times New Roman" w:cs="Times New Roman"/>
                <w:b/>
                <w:bCs/>
                <w:color w:val="000000"/>
                <w:kern w:val="0"/>
                <w:sz w:val="22"/>
                <w:szCs w:val="22"/>
                <w:highlight w:val="none"/>
                <w:lang w:val="en-US" w:eastAsia="zh-CN"/>
              </w:rPr>
              <w:t>100%</w:t>
            </w:r>
          </w:p>
        </w:tc>
      </w:tr>
      <w:tr w14:paraId="1B67D8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550" w:type="dxa"/>
            <w:vMerge w:val="continue"/>
            <w:tcBorders>
              <w:tl2br w:val="nil"/>
              <w:tr2bl w:val="nil"/>
            </w:tcBorders>
            <w:shd w:val="clear" w:color="auto" w:fill="FFFFFF"/>
            <w:vAlign w:val="center"/>
          </w:tcPr>
          <w:p w14:paraId="579A53A5">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A1E3E53">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5649F1E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14:paraId="03C28057">
            <w:pPr>
              <w:widowControl/>
              <w:spacing w:line="0" w:lineRule="atLeast"/>
              <w:jc w:val="center"/>
              <w:rPr>
                <w:rFonts w:ascii="仿宋_GB2312" w:hAnsi="宋体" w:cs="宋体"/>
                <w:kern w:val="0"/>
                <w:sz w:val="24"/>
                <w:szCs w:val="24"/>
              </w:rPr>
            </w:pPr>
            <w:r>
              <w:rPr>
                <w:b/>
                <w:bCs/>
                <w:color w:val="000000"/>
                <w:kern w:val="0"/>
                <w:sz w:val="22"/>
                <w:szCs w:val="22"/>
                <w:highlight w:val="none"/>
              </w:rPr>
              <w:t>4</w:t>
            </w:r>
          </w:p>
        </w:tc>
        <w:tc>
          <w:tcPr>
            <w:tcW w:w="898" w:type="dxa"/>
            <w:tcBorders>
              <w:tl2br w:val="nil"/>
              <w:tr2bl w:val="nil"/>
            </w:tcBorders>
            <w:shd w:val="clear" w:color="auto" w:fill="FFFFFF"/>
            <w:vAlign w:val="center"/>
          </w:tcPr>
          <w:p w14:paraId="14E5C284">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4</w:t>
            </w:r>
          </w:p>
        </w:tc>
        <w:tc>
          <w:tcPr>
            <w:tcW w:w="1039" w:type="dxa"/>
            <w:tcBorders>
              <w:tl2br w:val="nil"/>
              <w:tr2bl w:val="nil"/>
            </w:tcBorders>
            <w:shd w:val="clear" w:color="auto" w:fill="FFFFFF"/>
            <w:vAlign w:val="center"/>
          </w:tcPr>
          <w:p w14:paraId="58A436D4">
            <w:pPr>
              <w:widowControl/>
              <w:spacing w:line="0" w:lineRule="atLeast"/>
              <w:jc w:val="center"/>
              <w:rPr>
                <w:rFonts w:ascii="Times New Roman" w:hAnsi="Times New Roman" w:cs="Times New Roman"/>
                <w:b/>
                <w:bCs/>
                <w:color w:val="000000"/>
                <w:kern w:val="0"/>
                <w:sz w:val="22"/>
                <w:szCs w:val="22"/>
                <w:highlight w:val="none"/>
              </w:rPr>
            </w:pPr>
            <w:r>
              <w:rPr>
                <w:rFonts w:hint="eastAsia" w:ascii="Times New Roman" w:hAnsi="Times New Roman" w:cs="Times New Roman"/>
                <w:b/>
                <w:bCs/>
                <w:color w:val="000000"/>
                <w:kern w:val="0"/>
                <w:sz w:val="22"/>
                <w:szCs w:val="22"/>
                <w:highlight w:val="none"/>
                <w:lang w:val="en-US" w:eastAsia="zh-CN"/>
              </w:rPr>
              <w:t>100%</w:t>
            </w:r>
          </w:p>
        </w:tc>
      </w:tr>
      <w:tr w14:paraId="0AEE38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646DF3A2">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14:paraId="3EB8E76F">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14:paraId="4B6ACAF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14:paraId="146917FA">
            <w:pPr>
              <w:widowControl/>
              <w:spacing w:line="0" w:lineRule="atLeast"/>
              <w:jc w:val="center"/>
              <w:rPr>
                <w:rFonts w:ascii="仿宋_GB2312" w:hAnsi="宋体" w:cs="宋体"/>
                <w:kern w:val="0"/>
                <w:sz w:val="24"/>
                <w:szCs w:val="24"/>
              </w:rPr>
            </w:pPr>
            <w:r>
              <w:rPr>
                <w:b/>
                <w:bCs/>
                <w:color w:val="000000"/>
                <w:kern w:val="0"/>
                <w:sz w:val="22"/>
                <w:szCs w:val="22"/>
                <w:highlight w:val="none"/>
              </w:rPr>
              <w:t>4</w:t>
            </w:r>
          </w:p>
        </w:tc>
        <w:tc>
          <w:tcPr>
            <w:tcW w:w="898" w:type="dxa"/>
            <w:tcBorders>
              <w:tl2br w:val="nil"/>
              <w:tr2bl w:val="nil"/>
            </w:tcBorders>
            <w:shd w:val="clear" w:color="000000" w:fill="FFFFFF"/>
            <w:vAlign w:val="center"/>
          </w:tcPr>
          <w:p w14:paraId="2A8D6B1B">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4</w:t>
            </w:r>
          </w:p>
        </w:tc>
        <w:tc>
          <w:tcPr>
            <w:tcW w:w="1039" w:type="dxa"/>
            <w:tcBorders>
              <w:tl2br w:val="nil"/>
              <w:tr2bl w:val="nil"/>
            </w:tcBorders>
            <w:shd w:val="clear" w:color="000000" w:fill="FFFFFF"/>
            <w:vAlign w:val="center"/>
          </w:tcPr>
          <w:p w14:paraId="55418905">
            <w:pPr>
              <w:widowControl/>
              <w:spacing w:line="0" w:lineRule="atLeast"/>
              <w:jc w:val="center"/>
              <w:rPr>
                <w:rFonts w:ascii="Times New Roman" w:hAnsi="Times New Roman" w:cs="Times New Roman"/>
                <w:b/>
                <w:bCs/>
                <w:color w:val="000000"/>
                <w:kern w:val="0"/>
                <w:sz w:val="22"/>
                <w:szCs w:val="22"/>
                <w:highlight w:val="none"/>
              </w:rPr>
            </w:pPr>
            <w:r>
              <w:rPr>
                <w:rFonts w:hint="eastAsia" w:ascii="Times New Roman" w:hAnsi="Times New Roman" w:cs="Times New Roman"/>
                <w:b/>
                <w:bCs/>
                <w:color w:val="000000"/>
                <w:kern w:val="0"/>
                <w:sz w:val="22"/>
                <w:szCs w:val="22"/>
                <w:highlight w:val="none"/>
                <w:lang w:val="en-US" w:eastAsia="zh-CN"/>
              </w:rPr>
              <w:t>100%</w:t>
            </w:r>
          </w:p>
        </w:tc>
      </w:tr>
      <w:tr w14:paraId="56ECBC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E473F88">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741CB54C">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2CA6F9C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14:paraId="7C34B85B">
            <w:pPr>
              <w:widowControl/>
              <w:spacing w:line="0" w:lineRule="atLeast"/>
              <w:jc w:val="center"/>
              <w:rPr>
                <w:rFonts w:ascii="仿宋_GB2312" w:hAnsi="宋体" w:cs="宋体"/>
                <w:kern w:val="0"/>
                <w:sz w:val="24"/>
                <w:szCs w:val="24"/>
              </w:rPr>
            </w:pPr>
            <w:r>
              <w:rPr>
                <w:b/>
                <w:bCs/>
                <w:color w:val="000000"/>
                <w:kern w:val="0"/>
                <w:sz w:val="22"/>
                <w:szCs w:val="22"/>
                <w:highlight w:val="none"/>
              </w:rPr>
              <w:t>4</w:t>
            </w:r>
          </w:p>
        </w:tc>
        <w:tc>
          <w:tcPr>
            <w:tcW w:w="898" w:type="dxa"/>
            <w:tcBorders>
              <w:tl2br w:val="nil"/>
              <w:tr2bl w:val="nil"/>
            </w:tcBorders>
            <w:shd w:val="clear" w:color="auto" w:fill="FFFFFF"/>
            <w:vAlign w:val="center"/>
          </w:tcPr>
          <w:p w14:paraId="13D8DB9D">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3.71</w:t>
            </w:r>
          </w:p>
        </w:tc>
        <w:tc>
          <w:tcPr>
            <w:tcW w:w="1039" w:type="dxa"/>
            <w:tcBorders>
              <w:tl2br w:val="nil"/>
              <w:tr2bl w:val="nil"/>
            </w:tcBorders>
            <w:shd w:val="clear" w:color="auto" w:fill="FFFFFF"/>
            <w:vAlign w:val="center"/>
          </w:tcPr>
          <w:p w14:paraId="64FAC2F1">
            <w:pPr>
              <w:widowControl/>
              <w:spacing w:line="0" w:lineRule="atLeast"/>
              <w:jc w:val="center"/>
              <w:rPr>
                <w:rFonts w:ascii="Times New Roman" w:hAnsi="Times New Roman" w:cs="Times New Roman"/>
                <w:b/>
                <w:bCs/>
                <w:color w:val="000000"/>
                <w:kern w:val="0"/>
                <w:sz w:val="22"/>
                <w:szCs w:val="22"/>
                <w:highlight w:val="none"/>
              </w:rPr>
            </w:pPr>
            <w:r>
              <w:rPr>
                <w:rFonts w:hint="eastAsia" w:ascii="Times New Roman" w:hAnsi="Times New Roman" w:cs="Times New Roman"/>
                <w:b/>
                <w:bCs/>
                <w:color w:val="000000"/>
                <w:kern w:val="0"/>
                <w:sz w:val="22"/>
                <w:szCs w:val="22"/>
                <w:highlight w:val="none"/>
                <w:lang w:val="en-US" w:eastAsia="zh-CN"/>
              </w:rPr>
              <w:t>92.75%</w:t>
            </w:r>
          </w:p>
        </w:tc>
      </w:tr>
      <w:tr w14:paraId="350C4A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5597AC2">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85B0841">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5100216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14:paraId="6599F82E">
            <w:pPr>
              <w:widowControl/>
              <w:spacing w:line="0" w:lineRule="atLeast"/>
              <w:jc w:val="center"/>
              <w:rPr>
                <w:rFonts w:ascii="仿宋_GB2312" w:hAnsi="宋体" w:cs="宋体"/>
                <w:kern w:val="0"/>
                <w:sz w:val="24"/>
                <w:szCs w:val="24"/>
              </w:rPr>
            </w:pPr>
            <w:r>
              <w:rPr>
                <w:b/>
                <w:bCs/>
                <w:color w:val="000000"/>
                <w:kern w:val="0"/>
                <w:sz w:val="22"/>
                <w:szCs w:val="22"/>
                <w:highlight w:val="none"/>
              </w:rPr>
              <w:t>4</w:t>
            </w:r>
          </w:p>
        </w:tc>
        <w:tc>
          <w:tcPr>
            <w:tcW w:w="898" w:type="dxa"/>
            <w:tcBorders>
              <w:tl2br w:val="nil"/>
              <w:tr2bl w:val="nil"/>
            </w:tcBorders>
            <w:shd w:val="clear" w:color="000000" w:fill="FFFFFF"/>
            <w:vAlign w:val="center"/>
          </w:tcPr>
          <w:p w14:paraId="19779F70">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4</w:t>
            </w:r>
          </w:p>
        </w:tc>
        <w:tc>
          <w:tcPr>
            <w:tcW w:w="1039" w:type="dxa"/>
            <w:tcBorders>
              <w:tl2br w:val="nil"/>
              <w:tr2bl w:val="nil"/>
            </w:tcBorders>
            <w:shd w:val="clear" w:color="000000" w:fill="FFFFFF"/>
            <w:vAlign w:val="center"/>
          </w:tcPr>
          <w:p w14:paraId="42A24B45">
            <w:pPr>
              <w:widowControl/>
              <w:spacing w:line="0" w:lineRule="atLeast"/>
              <w:jc w:val="center"/>
              <w:rPr>
                <w:rFonts w:ascii="Times New Roman" w:hAnsi="Times New Roman" w:cs="Times New Roman"/>
                <w:b/>
                <w:bCs/>
                <w:color w:val="000000"/>
                <w:kern w:val="0"/>
                <w:sz w:val="22"/>
                <w:szCs w:val="22"/>
                <w:highlight w:val="none"/>
              </w:rPr>
            </w:pPr>
            <w:r>
              <w:rPr>
                <w:rFonts w:hint="eastAsia" w:ascii="Times New Roman" w:hAnsi="Times New Roman" w:cs="Times New Roman"/>
                <w:b/>
                <w:bCs/>
                <w:color w:val="000000"/>
                <w:kern w:val="0"/>
                <w:sz w:val="22"/>
                <w:szCs w:val="22"/>
                <w:highlight w:val="none"/>
                <w:lang w:val="en-US" w:eastAsia="zh-CN"/>
              </w:rPr>
              <w:t>100%</w:t>
            </w:r>
          </w:p>
        </w:tc>
      </w:tr>
      <w:tr w14:paraId="11AC64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62C487A">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10253C4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14:paraId="28781DA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14:paraId="32CA370C">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4</w:t>
            </w:r>
          </w:p>
        </w:tc>
        <w:tc>
          <w:tcPr>
            <w:tcW w:w="898" w:type="dxa"/>
            <w:tcBorders>
              <w:tl2br w:val="nil"/>
              <w:tr2bl w:val="nil"/>
            </w:tcBorders>
            <w:shd w:val="clear" w:color="000000" w:fill="FFFFFF"/>
            <w:vAlign w:val="center"/>
          </w:tcPr>
          <w:p w14:paraId="7D0D2AF0">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4</w:t>
            </w:r>
          </w:p>
        </w:tc>
        <w:tc>
          <w:tcPr>
            <w:tcW w:w="1039" w:type="dxa"/>
            <w:tcBorders>
              <w:tl2br w:val="nil"/>
              <w:tr2bl w:val="nil"/>
            </w:tcBorders>
            <w:shd w:val="clear" w:color="000000" w:fill="FFFFFF"/>
            <w:vAlign w:val="center"/>
          </w:tcPr>
          <w:p w14:paraId="312D9AAE">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100%</w:t>
            </w:r>
          </w:p>
        </w:tc>
      </w:tr>
      <w:tr w14:paraId="544351D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7" w:hRule="atLeast"/>
          <w:jc w:val="center"/>
        </w:trPr>
        <w:tc>
          <w:tcPr>
            <w:tcW w:w="1550" w:type="dxa"/>
            <w:vMerge w:val="continue"/>
            <w:tcBorders>
              <w:tl2br w:val="nil"/>
              <w:tr2bl w:val="nil"/>
            </w:tcBorders>
            <w:shd w:val="clear" w:color="auto" w:fill="FFFFFF"/>
            <w:vAlign w:val="center"/>
          </w:tcPr>
          <w:p w14:paraId="5B8C9405">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78DDA587">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03F28A2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14:paraId="093BEAE6">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4</w:t>
            </w:r>
          </w:p>
        </w:tc>
        <w:tc>
          <w:tcPr>
            <w:tcW w:w="898" w:type="dxa"/>
            <w:tcBorders>
              <w:tl2br w:val="nil"/>
              <w:tr2bl w:val="nil"/>
            </w:tcBorders>
            <w:shd w:val="clear" w:color="000000" w:fill="FFFFFF"/>
            <w:vAlign w:val="center"/>
          </w:tcPr>
          <w:p w14:paraId="14838676">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4</w:t>
            </w:r>
          </w:p>
        </w:tc>
        <w:tc>
          <w:tcPr>
            <w:tcW w:w="1039" w:type="dxa"/>
            <w:tcBorders>
              <w:tl2br w:val="nil"/>
              <w:tr2bl w:val="nil"/>
            </w:tcBorders>
            <w:shd w:val="clear" w:color="000000" w:fill="FFFFFF"/>
            <w:vAlign w:val="center"/>
          </w:tcPr>
          <w:p w14:paraId="590885B5">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100%</w:t>
            </w:r>
          </w:p>
        </w:tc>
      </w:tr>
      <w:tr w14:paraId="49420A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1550" w:type="dxa"/>
            <w:vMerge w:val="restart"/>
            <w:tcBorders>
              <w:tl2br w:val="nil"/>
              <w:tr2bl w:val="nil"/>
            </w:tcBorders>
            <w:shd w:val="clear" w:color="auto" w:fill="FFFFFF"/>
            <w:vAlign w:val="center"/>
          </w:tcPr>
          <w:p w14:paraId="1E362EF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tcBorders>
              <w:tl2br w:val="nil"/>
              <w:tr2bl w:val="nil"/>
            </w:tcBorders>
            <w:shd w:val="clear" w:color="auto" w:fill="FFFFFF"/>
            <w:vAlign w:val="center"/>
          </w:tcPr>
          <w:p w14:paraId="2DA329EF">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产出数量</w:t>
            </w:r>
          </w:p>
        </w:tc>
        <w:tc>
          <w:tcPr>
            <w:tcW w:w="2693" w:type="dxa"/>
            <w:tcBorders>
              <w:tl2br w:val="nil"/>
              <w:tr2bl w:val="nil"/>
            </w:tcBorders>
            <w:shd w:val="clear" w:color="auto" w:fill="FFFFFF"/>
            <w:vAlign w:val="center"/>
          </w:tcPr>
          <w:p w14:paraId="4B31CAF7">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实际完成率</w:t>
            </w:r>
          </w:p>
        </w:tc>
        <w:tc>
          <w:tcPr>
            <w:tcW w:w="898" w:type="dxa"/>
            <w:tcBorders>
              <w:tl2br w:val="nil"/>
              <w:tr2bl w:val="nil"/>
            </w:tcBorders>
            <w:shd w:val="clear" w:color="000000" w:fill="FFFFFF"/>
            <w:vAlign w:val="center"/>
          </w:tcPr>
          <w:p w14:paraId="5162577A">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c>
          <w:tcPr>
            <w:tcW w:w="898" w:type="dxa"/>
            <w:tcBorders>
              <w:tl2br w:val="nil"/>
              <w:tr2bl w:val="nil"/>
            </w:tcBorders>
            <w:shd w:val="clear" w:color="000000" w:fill="FFFFFF"/>
            <w:vAlign w:val="center"/>
          </w:tcPr>
          <w:p w14:paraId="223F5DBA">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c>
          <w:tcPr>
            <w:tcW w:w="1039" w:type="dxa"/>
            <w:tcBorders>
              <w:tl2br w:val="nil"/>
              <w:tr2bl w:val="nil"/>
            </w:tcBorders>
            <w:shd w:val="clear" w:color="000000" w:fill="FFFFFF"/>
            <w:vAlign w:val="center"/>
          </w:tcPr>
          <w:p w14:paraId="55E20CD2">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100%</w:t>
            </w:r>
          </w:p>
        </w:tc>
      </w:tr>
      <w:tr w14:paraId="1CBF4B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9FE81D8">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734750D7">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14:paraId="6B690B68">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质量达标率</w:t>
            </w:r>
          </w:p>
        </w:tc>
        <w:tc>
          <w:tcPr>
            <w:tcW w:w="898" w:type="dxa"/>
            <w:tcBorders>
              <w:tl2br w:val="nil"/>
              <w:tr2bl w:val="nil"/>
            </w:tcBorders>
            <w:shd w:val="clear" w:color="000000" w:fill="FFFFFF"/>
            <w:vAlign w:val="center"/>
          </w:tcPr>
          <w:p w14:paraId="2176B20D">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c>
          <w:tcPr>
            <w:tcW w:w="898" w:type="dxa"/>
            <w:tcBorders>
              <w:tl2br w:val="nil"/>
              <w:tr2bl w:val="nil"/>
            </w:tcBorders>
            <w:shd w:val="clear" w:color="000000" w:fill="FFFFFF"/>
            <w:vAlign w:val="center"/>
          </w:tcPr>
          <w:p w14:paraId="1722675C">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c>
          <w:tcPr>
            <w:tcW w:w="1039" w:type="dxa"/>
            <w:tcBorders>
              <w:tl2br w:val="nil"/>
              <w:tr2bl w:val="nil"/>
            </w:tcBorders>
            <w:shd w:val="clear" w:color="000000" w:fill="FFFFFF"/>
            <w:vAlign w:val="center"/>
          </w:tcPr>
          <w:p w14:paraId="52F63BA7">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100%</w:t>
            </w:r>
          </w:p>
        </w:tc>
      </w:tr>
      <w:tr w14:paraId="5C0BFCA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8" w:hRule="atLeast"/>
          <w:jc w:val="center"/>
        </w:trPr>
        <w:tc>
          <w:tcPr>
            <w:tcW w:w="1550" w:type="dxa"/>
            <w:vMerge w:val="continue"/>
            <w:tcBorders>
              <w:tl2br w:val="nil"/>
              <w:tr2bl w:val="nil"/>
            </w:tcBorders>
            <w:shd w:val="clear" w:color="auto" w:fill="FFFFFF"/>
            <w:vAlign w:val="center"/>
          </w:tcPr>
          <w:p w14:paraId="483B1F34">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601AAEAB">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产出时效</w:t>
            </w:r>
          </w:p>
        </w:tc>
        <w:tc>
          <w:tcPr>
            <w:tcW w:w="2693" w:type="dxa"/>
            <w:tcBorders>
              <w:tl2br w:val="nil"/>
              <w:tr2bl w:val="nil"/>
            </w:tcBorders>
            <w:shd w:val="clear" w:color="auto" w:fill="FFFFFF"/>
            <w:vAlign w:val="center"/>
          </w:tcPr>
          <w:p w14:paraId="571D8556">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完成及时性</w:t>
            </w:r>
          </w:p>
        </w:tc>
        <w:tc>
          <w:tcPr>
            <w:tcW w:w="898" w:type="dxa"/>
            <w:tcBorders>
              <w:tl2br w:val="nil"/>
              <w:tr2bl w:val="nil"/>
            </w:tcBorders>
            <w:shd w:val="clear" w:color="000000" w:fill="FFFFFF"/>
            <w:vAlign w:val="center"/>
          </w:tcPr>
          <w:p w14:paraId="6BF671D7">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c>
          <w:tcPr>
            <w:tcW w:w="898" w:type="dxa"/>
            <w:tcBorders>
              <w:tl2br w:val="nil"/>
              <w:tr2bl w:val="nil"/>
            </w:tcBorders>
            <w:shd w:val="clear" w:color="000000" w:fill="FFFFFF"/>
            <w:vAlign w:val="center"/>
          </w:tcPr>
          <w:p w14:paraId="517C81C7">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c>
          <w:tcPr>
            <w:tcW w:w="1039" w:type="dxa"/>
            <w:tcBorders>
              <w:tl2br w:val="nil"/>
              <w:tr2bl w:val="nil"/>
            </w:tcBorders>
            <w:shd w:val="clear" w:color="000000" w:fill="FFFFFF"/>
            <w:vAlign w:val="center"/>
          </w:tcPr>
          <w:p w14:paraId="0DC2B3EB">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100%</w:t>
            </w:r>
          </w:p>
        </w:tc>
      </w:tr>
      <w:tr w14:paraId="3D65019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132178D">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5AAEE2B2">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产出成本</w:t>
            </w:r>
          </w:p>
        </w:tc>
        <w:tc>
          <w:tcPr>
            <w:tcW w:w="2693" w:type="dxa"/>
            <w:tcBorders>
              <w:tl2br w:val="nil"/>
              <w:tr2bl w:val="nil"/>
            </w:tcBorders>
            <w:shd w:val="clear" w:color="auto" w:fill="FFFFFF"/>
            <w:vAlign w:val="center"/>
          </w:tcPr>
          <w:p w14:paraId="769211AD">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成本节约率</w:t>
            </w:r>
          </w:p>
        </w:tc>
        <w:tc>
          <w:tcPr>
            <w:tcW w:w="898" w:type="dxa"/>
            <w:tcBorders>
              <w:tl2br w:val="nil"/>
              <w:tr2bl w:val="nil"/>
            </w:tcBorders>
            <w:shd w:val="clear" w:color="000000" w:fill="FFFFFF"/>
            <w:vAlign w:val="center"/>
          </w:tcPr>
          <w:p w14:paraId="39FD9930">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c>
          <w:tcPr>
            <w:tcW w:w="898" w:type="dxa"/>
            <w:tcBorders>
              <w:tl2br w:val="nil"/>
              <w:tr2bl w:val="nil"/>
            </w:tcBorders>
            <w:shd w:val="clear" w:color="000000" w:fill="FFFFFF"/>
            <w:vAlign w:val="center"/>
          </w:tcPr>
          <w:p w14:paraId="25793074">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9.53</w:t>
            </w:r>
          </w:p>
        </w:tc>
        <w:tc>
          <w:tcPr>
            <w:tcW w:w="1039" w:type="dxa"/>
            <w:tcBorders>
              <w:tl2br w:val="nil"/>
              <w:tr2bl w:val="nil"/>
            </w:tcBorders>
            <w:shd w:val="clear" w:color="000000" w:fill="FFFFFF"/>
            <w:vAlign w:val="center"/>
          </w:tcPr>
          <w:p w14:paraId="1087B967">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95.3%</w:t>
            </w:r>
          </w:p>
        </w:tc>
      </w:tr>
      <w:tr w14:paraId="3AD20C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1550" w:type="dxa"/>
            <w:tcBorders>
              <w:tl2br w:val="nil"/>
              <w:tr2bl w:val="nil"/>
            </w:tcBorders>
            <w:shd w:val="clear" w:color="auto" w:fill="FFFFFF"/>
            <w:vAlign w:val="center"/>
          </w:tcPr>
          <w:p w14:paraId="497616B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tcBorders>
              <w:tl2br w:val="nil"/>
              <w:tr2bl w:val="nil"/>
            </w:tcBorders>
            <w:shd w:val="clear" w:color="auto" w:fill="FFFFFF"/>
            <w:vAlign w:val="center"/>
          </w:tcPr>
          <w:p w14:paraId="72BE5529">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项目效益</w:t>
            </w:r>
          </w:p>
        </w:tc>
        <w:tc>
          <w:tcPr>
            <w:tcW w:w="2693" w:type="dxa"/>
            <w:tcBorders>
              <w:tl2br w:val="nil"/>
              <w:tr2bl w:val="nil"/>
            </w:tcBorders>
            <w:shd w:val="clear" w:color="auto" w:fill="FFFFFF"/>
            <w:vAlign w:val="center"/>
          </w:tcPr>
          <w:p w14:paraId="221F9044">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实施效益</w:t>
            </w:r>
          </w:p>
        </w:tc>
        <w:tc>
          <w:tcPr>
            <w:tcW w:w="898" w:type="dxa"/>
            <w:tcBorders>
              <w:tl2br w:val="nil"/>
              <w:tr2bl w:val="nil"/>
            </w:tcBorders>
            <w:shd w:val="clear" w:color="auto" w:fill="FFFFFF"/>
            <w:vAlign w:val="center"/>
          </w:tcPr>
          <w:p w14:paraId="2C9DEDD4">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c>
          <w:tcPr>
            <w:tcW w:w="898" w:type="dxa"/>
            <w:tcBorders>
              <w:tl2br w:val="nil"/>
              <w:tr2bl w:val="nil"/>
            </w:tcBorders>
            <w:shd w:val="clear" w:color="auto" w:fill="FFFFFF"/>
            <w:vAlign w:val="center"/>
          </w:tcPr>
          <w:p w14:paraId="6B864C83">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c>
          <w:tcPr>
            <w:tcW w:w="1039" w:type="dxa"/>
            <w:tcBorders>
              <w:tl2br w:val="nil"/>
              <w:tr2bl w:val="nil"/>
            </w:tcBorders>
            <w:shd w:val="clear" w:color="auto" w:fill="FFFFFF"/>
            <w:vAlign w:val="center"/>
          </w:tcPr>
          <w:p w14:paraId="051F33AB">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100%</w:t>
            </w:r>
          </w:p>
        </w:tc>
      </w:tr>
      <w:tr w14:paraId="082CE3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9" w:hRule="atLeast"/>
          <w:jc w:val="center"/>
        </w:trPr>
        <w:tc>
          <w:tcPr>
            <w:tcW w:w="1550" w:type="dxa"/>
            <w:tcBorders>
              <w:tl2br w:val="nil"/>
              <w:tr2bl w:val="nil"/>
            </w:tcBorders>
            <w:shd w:val="clear" w:color="auto" w:fill="FFFFFF"/>
            <w:vAlign w:val="center"/>
          </w:tcPr>
          <w:p w14:paraId="264A97AD">
            <w:pPr>
              <w:widowControl/>
              <w:ind w:firstLine="0" w:firstLineChars="0"/>
              <w:jc w:val="center"/>
              <w:rPr>
                <w:rFonts w:ascii="仿宋_GB2312" w:hAnsi="宋体" w:cs="宋体"/>
                <w:kern w:val="0"/>
                <w:sz w:val="24"/>
                <w:szCs w:val="24"/>
              </w:rPr>
            </w:pPr>
            <w:r>
              <w:rPr>
                <w:rFonts w:ascii="宋体" w:hAnsi="宋体" w:eastAsia="宋体" w:cs="宋体"/>
                <w:color w:val="000000"/>
                <w:kern w:val="0"/>
                <w:sz w:val="22"/>
              </w:rPr>
              <w:t>满意度指标完成情况分析</w:t>
            </w:r>
          </w:p>
        </w:tc>
        <w:tc>
          <w:tcPr>
            <w:tcW w:w="1984" w:type="dxa"/>
            <w:tcBorders>
              <w:tl2br w:val="nil"/>
              <w:tr2bl w:val="nil"/>
            </w:tcBorders>
            <w:shd w:val="clear" w:color="auto" w:fill="FFFFFF"/>
            <w:vAlign w:val="center"/>
          </w:tcPr>
          <w:p w14:paraId="32BD0E8C">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满意度指标</w:t>
            </w:r>
          </w:p>
        </w:tc>
        <w:tc>
          <w:tcPr>
            <w:tcW w:w="2693" w:type="dxa"/>
            <w:tcBorders>
              <w:tl2br w:val="nil"/>
              <w:tr2bl w:val="nil"/>
            </w:tcBorders>
            <w:shd w:val="clear" w:color="auto" w:fill="FFFFFF"/>
            <w:vAlign w:val="center"/>
          </w:tcPr>
          <w:p w14:paraId="1FE24B7B">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满意度</w:t>
            </w:r>
          </w:p>
        </w:tc>
        <w:tc>
          <w:tcPr>
            <w:tcW w:w="898" w:type="dxa"/>
            <w:tcBorders>
              <w:tl2br w:val="nil"/>
              <w:tr2bl w:val="nil"/>
            </w:tcBorders>
            <w:shd w:val="clear" w:color="000000" w:fill="FFFFFF"/>
            <w:vAlign w:val="center"/>
          </w:tcPr>
          <w:p w14:paraId="5143F8D8">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c>
          <w:tcPr>
            <w:tcW w:w="898" w:type="dxa"/>
            <w:tcBorders>
              <w:tl2br w:val="nil"/>
              <w:tr2bl w:val="nil"/>
            </w:tcBorders>
            <w:shd w:val="clear" w:color="000000" w:fill="FFFFFF"/>
            <w:vAlign w:val="center"/>
          </w:tcPr>
          <w:p w14:paraId="2FA2DA1B">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c>
          <w:tcPr>
            <w:tcW w:w="1039" w:type="dxa"/>
            <w:tcBorders>
              <w:tl2br w:val="nil"/>
              <w:tr2bl w:val="nil"/>
            </w:tcBorders>
            <w:shd w:val="clear" w:color="000000" w:fill="FFFFFF"/>
            <w:vAlign w:val="center"/>
          </w:tcPr>
          <w:p w14:paraId="7585DA4E">
            <w:pPr>
              <w:widowControl/>
              <w:spacing w:line="0" w:lineRule="atLeast"/>
              <w:jc w:val="center"/>
              <w:rPr>
                <w:rFonts w:hint="eastAsia" w:ascii="Times New Roman" w:hAnsi="Times New Roman"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100%</w:t>
            </w:r>
          </w:p>
        </w:tc>
      </w:tr>
    </w:tbl>
    <w:p w14:paraId="473EF9F0">
      <w:pPr>
        <w:pStyle w:val="12"/>
        <w:spacing w:before="0" w:after="0" w:line="560" w:lineRule="exact"/>
        <w:jc w:val="both"/>
        <w:rPr>
          <w:rFonts w:hint="eastAsia" w:ascii="Times New Roman" w:hAnsi="Times New Roman" w:eastAsia="楷体_GB2312" w:cs="Times New Roman"/>
        </w:rPr>
      </w:pPr>
    </w:p>
    <w:p w14:paraId="1B01911A">
      <w:pPr>
        <w:pStyle w:val="12"/>
        <w:spacing w:before="0" w:after="0" w:line="560" w:lineRule="exact"/>
        <w:ind w:firstLine="643" w:firstLineChars="200"/>
        <w:jc w:val="both"/>
        <w:rPr>
          <w:rFonts w:hint="eastAsia" w:ascii="Times New Roman" w:hAnsi="Times New Roman" w:eastAsia="楷体_GB2312" w:cs="Times New Roman"/>
        </w:rPr>
      </w:pPr>
      <w:bookmarkStart w:id="4" w:name="_Toc196487551"/>
      <w:bookmarkStart w:id="5" w:name="_Toc67911610"/>
      <w:r>
        <w:rPr>
          <w:rFonts w:hint="eastAsia" w:ascii="Times New Roman" w:hAnsi="Times New Roman" w:eastAsia="楷体_GB2312" w:cs="Times New Roman"/>
        </w:rPr>
        <w:t>（二）主要绩效</w:t>
      </w:r>
      <w:bookmarkEnd w:id="4"/>
      <w:bookmarkEnd w:id="5"/>
    </w:p>
    <w:p w14:paraId="36AD64C4">
      <w:pPr>
        <w:spacing w:line="600" w:lineRule="exact"/>
        <w:ind w:firstLine="640" w:firstLineChars="200"/>
        <w:rPr>
          <w:rFonts w:hint="eastAsia" w:ascii="仿宋_GB2312" w:hAnsi="Calibri" w:eastAsia="仿宋_GB2312" w:cs="黑体"/>
          <w:bCs/>
          <w:sz w:val="32"/>
          <w:szCs w:val="32"/>
          <w:lang w:val="en-US" w:eastAsia="zh-CN"/>
        </w:rPr>
      </w:pPr>
      <w:r>
        <w:rPr>
          <w:rFonts w:hint="eastAsia" w:ascii="仿宋_GB2312" w:hAnsi="Calibri" w:eastAsia="仿宋_GB2312" w:cs="黑体"/>
          <w:bCs/>
          <w:sz w:val="32"/>
          <w:szCs w:val="32"/>
          <w:lang w:val="en-US" w:eastAsia="zh-CN"/>
        </w:rPr>
        <w:t>该项目资金区财政及时拨付，单位在此次评价期间内，有序完成设定目标的部分工作任务，一般社区8个；市重点社区2个；社区经费支付准确率100%；社区经费支付及时率100%；社区日常公用开支193.26万元；社区开展各项群众活动经费158.79万元；社区化解各类欠款经费33.84万元；促进社会稳定和长治久安：有效促进；辖区居民满意度：100%。该项目实施以来，有效促进了社会稳定和长治久安。通过完善社区基础设施、丰富群众文化生活、解决历史遗留问题等一系列举措，辖区居民的生活质量得到显著提升，居民对社区工作的满意度大幅提高。在近期开展的居民满意度调查中，居民对社区工作表示非常满意。</w:t>
      </w:r>
    </w:p>
    <w:p w14:paraId="04412A42">
      <w:pPr>
        <w:spacing w:line="560" w:lineRule="exact"/>
        <w:ind w:firstLine="640" w:firstLineChars="200"/>
        <w:rPr>
          <w:rFonts w:eastAsia="黑体"/>
          <w:sz w:val="32"/>
          <w:szCs w:val="32"/>
        </w:rPr>
      </w:pPr>
      <w:r>
        <w:rPr>
          <w:rFonts w:eastAsia="黑体"/>
          <w:sz w:val="32"/>
          <w:szCs w:val="32"/>
        </w:rPr>
        <w:t>四、绩效评价指标分析</w:t>
      </w:r>
    </w:p>
    <w:p w14:paraId="06996261">
      <w:pPr>
        <w:pStyle w:val="1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42669AF6">
      <w:pPr>
        <w:spacing w:line="600" w:lineRule="exact"/>
        <w:ind w:firstLine="640" w:firstLineChars="200"/>
        <w:rPr>
          <w:rFonts w:hint="eastAsia" w:ascii="仿宋_GB2312" w:hAnsi="Calibri" w:eastAsia="仿宋_GB2312" w:cs="黑体"/>
          <w:bCs/>
          <w:sz w:val="32"/>
          <w:szCs w:val="32"/>
          <w:lang w:val="en-US" w:eastAsia="zh-CN"/>
        </w:rPr>
      </w:pPr>
      <w:r>
        <w:rPr>
          <w:rFonts w:hint="eastAsia" w:ascii="仿宋_GB2312" w:hAnsi="Calibri" w:eastAsia="仿宋_GB2312" w:cs="黑体"/>
          <w:bCs/>
          <w:sz w:val="32"/>
          <w:szCs w:val="32"/>
          <w:lang w:val="en-US" w:eastAsia="zh-CN"/>
        </w:rPr>
        <w:t>项目决策类指标包括项目立项、绩效目标和资金投入三方面的内容，由6个三级指标构成，权重分值为20分，实际得分20分，得分率为100%。</w:t>
      </w:r>
    </w:p>
    <w:p w14:paraId="21417A16">
      <w:pPr>
        <w:pStyle w:val="23"/>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3A2A811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623EBCD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40C131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6500EDB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0667C151">
      <w:pPr>
        <w:pStyle w:val="23"/>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5E29D7B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40008CD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63471B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145065BD">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0EAF15A3">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26E49A6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41C65F3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2BEF29C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6F0E021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1F9F22DA">
      <w:pPr>
        <w:pStyle w:val="12"/>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4D55F949">
      <w:pPr>
        <w:spacing w:line="600" w:lineRule="exact"/>
        <w:ind w:firstLine="640" w:firstLineChars="200"/>
        <w:outlineLvl w:val="0"/>
        <w:rPr>
          <w:rFonts w:ascii="仿宋_GB2312" w:hAnsi="仿宋_GB2312" w:eastAsia="仿宋_GB2312" w:cs="仿宋_GB2312"/>
          <w:sz w:val="32"/>
          <w:szCs w:val="32"/>
          <w:highlight w:val="cyan"/>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w:t>
      </w:r>
      <w:r>
        <w:rPr>
          <w:rFonts w:hint="eastAsia" w:ascii="仿宋_GB2312" w:hAnsi="仿宋_GB2312" w:eastAsia="仿宋_GB2312" w:cs="仿宋_GB2312"/>
          <w:sz w:val="32"/>
          <w:szCs w:val="32"/>
          <w:lang w:val="en-US" w:eastAsia="zh-CN"/>
        </w:rPr>
        <w:t>19.71</w:t>
      </w:r>
      <w:r>
        <w:rPr>
          <w:rFonts w:hint="eastAsia" w:ascii="仿宋_GB2312" w:hAnsi="仿宋_GB2312" w:eastAsia="仿宋_GB2312" w:cs="仿宋_GB2312"/>
          <w:sz w:val="32"/>
          <w:szCs w:val="32"/>
        </w:rPr>
        <w:t>分，得分率为</w:t>
      </w:r>
      <w:r>
        <w:rPr>
          <w:rFonts w:hint="eastAsia" w:ascii="仿宋_GB2312" w:hAnsi="仿宋_GB2312" w:eastAsia="仿宋_GB2312" w:cs="仿宋_GB2312"/>
          <w:sz w:val="32"/>
          <w:szCs w:val="32"/>
          <w:lang w:val="en-US" w:eastAsia="zh-CN"/>
        </w:rPr>
        <w:t>98.55</w:t>
      </w:r>
      <w:r>
        <w:rPr>
          <w:rFonts w:hint="eastAsia" w:ascii="仿宋_GB2312" w:hAnsi="仿宋_GB2312" w:eastAsia="仿宋_GB2312" w:cs="仿宋_GB2312"/>
          <w:sz w:val="32"/>
          <w:szCs w:val="32"/>
        </w:rPr>
        <w:t>%。</w:t>
      </w:r>
    </w:p>
    <w:p w14:paraId="5BEB074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3A93C0B2">
      <w:pPr>
        <w:pStyle w:val="23"/>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24E74D5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4BC76AE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w:t>
      </w:r>
      <w:r>
        <w:rPr>
          <w:rFonts w:hint="eastAsia" w:ascii="仿宋_GB2312" w:hAnsi="仿宋_GB2312" w:eastAsia="仿宋_GB2312" w:cs="仿宋_GB2312"/>
          <w:sz w:val="32"/>
          <w:szCs w:val="32"/>
          <w:lang w:val="en-US" w:eastAsia="zh-CN"/>
        </w:rPr>
        <w:t>416</w:t>
      </w:r>
      <w:r>
        <w:rPr>
          <w:rFonts w:hint="eastAsia" w:ascii="仿宋_GB2312" w:hAnsi="仿宋_GB2312" w:eastAsia="仿宋_GB2312" w:cs="仿宋_GB2312"/>
          <w:sz w:val="32"/>
          <w:szCs w:val="32"/>
        </w:rPr>
        <w:t>万元，财政资金及时足额到位，到位率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%，预算资金按计划进度执行。</w:t>
      </w:r>
    </w:p>
    <w:p w14:paraId="2567FFB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5B05948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w:t>
      </w:r>
      <w:r>
        <w:rPr>
          <w:rFonts w:hint="eastAsia" w:ascii="仿宋_GB2312" w:hAnsi="仿宋_GB2312" w:eastAsia="仿宋_GB2312" w:cs="仿宋_GB2312"/>
          <w:sz w:val="32"/>
          <w:szCs w:val="32"/>
          <w:lang w:val="en-US" w:eastAsia="zh-CN"/>
        </w:rPr>
        <w:t>385.89</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92.76</w:t>
      </w:r>
      <w:r>
        <w:rPr>
          <w:rFonts w:hint="eastAsia" w:ascii="仿宋_GB2312" w:hAnsi="仿宋_GB2312" w:eastAsia="仿宋_GB2312" w:cs="仿宋_GB2312"/>
          <w:sz w:val="32"/>
          <w:szCs w:val="32"/>
        </w:rPr>
        <w:t>%。</w:t>
      </w:r>
    </w:p>
    <w:p w14:paraId="3510D9B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103A9B8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AB7C82D">
      <w:pPr>
        <w:pStyle w:val="23"/>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1989649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7C60D42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02BD21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13B0E90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0FBDAD13">
      <w:pPr>
        <w:pStyle w:val="13"/>
        <w:numPr>
          <w:ilvl w:val="0"/>
          <w:numId w:val="4"/>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247C6D3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个三级指标构成，权重分为40分，实际得分</w:t>
      </w:r>
      <w:r>
        <w:rPr>
          <w:rFonts w:hint="eastAsia" w:ascii="仿宋_GB2312" w:hAnsi="仿宋_GB2312" w:eastAsia="仿宋_GB2312" w:cs="仿宋_GB2312"/>
          <w:sz w:val="32"/>
          <w:szCs w:val="32"/>
          <w:lang w:val="en-US" w:eastAsia="zh-CN"/>
        </w:rPr>
        <w:t>39.53</w:t>
      </w:r>
      <w:r>
        <w:rPr>
          <w:rFonts w:hint="eastAsia" w:ascii="仿宋_GB2312" w:hAnsi="仿宋_GB2312" w:eastAsia="仿宋_GB2312" w:cs="仿宋_GB2312"/>
          <w:sz w:val="32"/>
          <w:szCs w:val="32"/>
        </w:rPr>
        <w:t>分，得分率为</w:t>
      </w:r>
      <w:r>
        <w:rPr>
          <w:rFonts w:hint="eastAsia" w:ascii="仿宋_GB2312" w:hAnsi="仿宋_GB2312" w:eastAsia="仿宋_GB2312" w:cs="仿宋_GB2312"/>
          <w:sz w:val="32"/>
          <w:szCs w:val="32"/>
          <w:lang w:val="en-US" w:eastAsia="zh-CN"/>
        </w:rPr>
        <w:t>98.8</w:t>
      </w:r>
      <w:r>
        <w:rPr>
          <w:rFonts w:hint="eastAsia" w:ascii="仿宋_GB2312" w:hAnsi="仿宋_GB2312" w:eastAsia="仿宋_GB2312" w:cs="仿宋_GB2312"/>
          <w:sz w:val="32"/>
          <w:szCs w:val="32"/>
        </w:rPr>
        <w:t>%。具体产出指标完成情况如下：</w:t>
      </w:r>
    </w:p>
    <w:p w14:paraId="0732F8D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0620937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指标1：一般社区个数，指标值：</w:t>
      </w:r>
      <w:r>
        <w:rPr>
          <w:rFonts w:hint="eastAsia" w:ascii="仿宋_GB2312" w:hAnsi="仿宋_GB2312" w:eastAsia="仿宋_GB2312" w:cs="仿宋_GB2312"/>
          <w:sz w:val="32"/>
          <w:szCs w:val="32"/>
          <w:lang w:val="en-US" w:eastAsia="zh-CN"/>
        </w:rPr>
        <w:t>等于8个</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8个</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6248D064">
      <w:pPr>
        <w:spacing w:line="600" w:lineRule="exact"/>
        <w:ind w:firstLine="640" w:firstLineChars="200"/>
        <w:outlineLvl w:val="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一般社区</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val="en-US" w:eastAsia="zh-CN"/>
        </w:rPr>
        <w:t>花苑社区、南山社区、水塔山社区、苇湖庄社区、温泉西路社区、文苑巷社区、新居巷社区、怡和社区</w:t>
      </w:r>
    </w:p>
    <w:p w14:paraId="282CD6AD">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指标2：市重点社区个数</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等于2个</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2个</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278400E5">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重点社区2个：</w:t>
      </w:r>
      <w:r>
        <w:rPr>
          <w:rFonts w:hint="eastAsia" w:ascii="仿宋_GB2312" w:hAnsi="仿宋_GB2312" w:eastAsia="仿宋_GB2312" w:cs="仿宋_GB2312"/>
          <w:sz w:val="32"/>
          <w:szCs w:val="32"/>
          <w:lang w:val="en-US" w:eastAsia="zh-CN"/>
        </w:rPr>
        <w:t>新纺社区、清泉社区</w:t>
      </w:r>
    </w:p>
    <w:p w14:paraId="322B6F6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6016A8C1">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社区经费支付准确率，指标值：</w:t>
      </w:r>
      <w:r>
        <w:rPr>
          <w:rFonts w:hint="eastAsia" w:ascii="仿宋_GB2312" w:hAnsi="仿宋_GB2312" w:eastAsia="仿宋_GB2312" w:cs="仿宋_GB2312"/>
          <w:sz w:val="32"/>
          <w:szCs w:val="32"/>
          <w:lang w:val="en-US" w:eastAsia="zh-CN"/>
        </w:rPr>
        <w:t>大于等于</w:t>
      </w:r>
      <w:r>
        <w:rPr>
          <w:rFonts w:hint="eastAsia" w:ascii="仿宋_GB2312" w:hAnsi="仿宋_GB2312" w:eastAsia="仿宋_GB2312" w:cs="仿宋_GB2312"/>
          <w:sz w:val="32"/>
          <w:szCs w:val="32"/>
        </w:rPr>
        <w:t>90%，实际完成值：</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0% ，指标完成率</w:t>
      </w:r>
      <w:r>
        <w:rPr>
          <w:rFonts w:hint="eastAsia" w:ascii="仿宋_GB2312" w:hAnsi="仿宋_GB2312" w:eastAsia="仿宋_GB2312" w:cs="仿宋_GB2312"/>
          <w:sz w:val="32"/>
          <w:szCs w:val="32"/>
          <w:lang w:val="en-US" w:eastAsia="zh-CN"/>
        </w:rPr>
        <w:t>111.11</w:t>
      </w:r>
      <w:r>
        <w:rPr>
          <w:rFonts w:hint="eastAsia" w:ascii="仿宋_GB2312" w:hAnsi="仿宋_GB2312" w:eastAsia="仿宋_GB2312" w:cs="仿宋_GB2312"/>
          <w:sz w:val="32"/>
          <w:szCs w:val="32"/>
        </w:rPr>
        <w:t>%。</w:t>
      </w:r>
    </w:p>
    <w:p w14:paraId="428C1BF0">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偏差原因：本年内对社区经费支付流程进行了全面梳理和优化，明确各岗位在支付流程中的职责与时间节点，极大提高了工作效率，促使支付准备和执行更为迅速，保障了经费支付及时完成。</w:t>
      </w:r>
    </w:p>
    <w:p w14:paraId="2B1CAB7C">
      <w:pP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改进措施：现有指标值设置相对保守，未能充分反映社区在流程优化后具备的更高管理能力，存在指标冗余空间。针对这一问题，我单位将根据年度实际完成情况，每年对指标值进行评估和调整，确保目标贴合实际能力。</w:t>
      </w:r>
    </w:p>
    <w:p w14:paraId="16A08E0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14:paraId="397531A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指标1：社区经费支付及时率，指标值：</w:t>
      </w:r>
      <w:r>
        <w:rPr>
          <w:rFonts w:hint="eastAsia" w:ascii="仿宋_GB2312" w:hAnsi="仿宋_GB2312" w:eastAsia="仿宋_GB2312" w:cs="仿宋_GB2312"/>
          <w:sz w:val="32"/>
          <w:szCs w:val="32"/>
          <w:lang w:val="en-US" w:eastAsia="zh-CN"/>
        </w:rPr>
        <w:t>大于等于</w:t>
      </w:r>
      <w:r>
        <w:rPr>
          <w:rFonts w:hint="eastAsia" w:ascii="仿宋_GB2312" w:hAnsi="仿宋_GB2312" w:eastAsia="仿宋_GB2312" w:cs="仿宋_GB2312"/>
          <w:sz w:val="32"/>
          <w:szCs w:val="32"/>
        </w:rPr>
        <w:t>90%，实际完成值：</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0% ，指标完成率</w:t>
      </w:r>
      <w:r>
        <w:rPr>
          <w:rFonts w:hint="eastAsia" w:ascii="仿宋_GB2312" w:hAnsi="仿宋_GB2312" w:eastAsia="仿宋_GB2312" w:cs="仿宋_GB2312"/>
          <w:sz w:val="32"/>
          <w:szCs w:val="32"/>
          <w:lang w:val="en-US" w:eastAsia="zh-CN"/>
        </w:rPr>
        <w:t>111.11</w:t>
      </w:r>
      <w:r>
        <w:rPr>
          <w:rFonts w:hint="eastAsia" w:ascii="仿宋_GB2312" w:hAnsi="仿宋_GB2312" w:eastAsia="仿宋_GB2312" w:cs="仿宋_GB2312"/>
          <w:sz w:val="32"/>
          <w:szCs w:val="32"/>
        </w:rPr>
        <w:t>%。</w:t>
      </w:r>
    </w:p>
    <w:p w14:paraId="778F784D">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偏差原因：</w:t>
      </w:r>
      <w:r>
        <w:rPr>
          <w:rFonts w:hint="eastAsia" w:ascii="仿宋_GB2312" w:hAnsi="仿宋_GB2312" w:eastAsia="仿宋_GB2312" w:cs="仿宋_GB2312"/>
          <w:sz w:val="32"/>
          <w:szCs w:val="32"/>
          <w:lang w:val="en-US" w:eastAsia="zh-CN"/>
        </w:rPr>
        <w:t>年初目标值</w:t>
      </w:r>
      <w:r>
        <w:rPr>
          <w:rFonts w:hint="eastAsia" w:ascii="仿宋_GB2312" w:hAnsi="仿宋_GB2312" w:eastAsia="仿宋_GB2312" w:cs="仿宋_GB2312"/>
          <w:sz w:val="32"/>
          <w:szCs w:val="32"/>
        </w:rPr>
        <w:t>90%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在经费支付过程中，各部门间信息共享及时、沟通顺畅，能快速解决支付过程中出现的问题。与合作单位保持良好互动，提前协商支付事宜，确保支付环节无缝对接，保障了支付工作按时推进。</w:t>
      </w:r>
    </w:p>
    <w:p w14:paraId="7330F20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改进措施：现有指标值设置相对保守，未能充分反映社区在流程优化后具备的更高管理能力，存在指标冗余空间。针对这一问题，我单位将根据年度实际完成情况，每年对指标值进行评估和调整，确保目标贴合实际能力。</w:t>
      </w:r>
    </w:p>
    <w:p w14:paraId="554402C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14:paraId="50910A78">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：社区日常公用开支经费，指标值：</w:t>
      </w:r>
      <w:r>
        <w:rPr>
          <w:rFonts w:hint="eastAsia" w:ascii="仿宋_GB2312" w:hAnsi="仿宋_GB2312" w:eastAsia="仿宋_GB2312" w:cs="仿宋_GB2312"/>
          <w:sz w:val="32"/>
          <w:szCs w:val="32"/>
          <w:lang w:val="en-US" w:eastAsia="zh-CN"/>
        </w:rPr>
        <w:t>小于等于</w:t>
      </w:r>
      <w:r>
        <w:rPr>
          <w:rFonts w:hint="eastAsia" w:ascii="仿宋_GB2312" w:hAnsi="仿宋_GB2312" w:eastAsia="仿宋_GB2312" w:cs="仿宋_GB2312"/>
          <w:sz w:val="32"/>
          <w:szCs w:val="32"/>
        </w:rPr>
        <w:t>222万元，实际完成值：193.26万元，指标完成率</w:t>
      </w:r>
      <w:r>
        <w:rPr>
          <w:rFonts w:hint="eastAsia" w:ascii="仿宋_GB2312" w:hAnsi="仿宋_GB2312" w:eastAsia="仿宋_GB2312" w:cs="仿宋_GB2312"/>
          <w:sz w:val="32"/>
          <w:szCs w:val="32"/>
          <w:lang w:val="en-US" w:eastAsia="zh-CN"/>
        </w:rPr>
        <w:t>87.05</w:t>
      </w:r>
      <w:r>
        <w:rPr>
          <w:rFonts w:hint="eastAsia" w:ascii="仿宋_GB2312" w:hAnsi="仿宋_GB2312" w:eastAsia="仿宋_GB2312" w:cs="仿宋_GB2312"/>
          <w:sz w:val="32"/>
          <w:szCs w:val="32"/>
        </w:rPr>
        <w:t>%。</w:t>
      </w:r>
    </w:p>
    <w:p w14:paraId="5CC325D0">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偏差原因：我单位落实“过紧日子”的要求，通过加强日常管理，如随手关灯、关电脑等，有效减少了社区日常公用开支。</w:t>
      </w:r>
    </w:p>
    <w:p w14:paraId="049BCD2B">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改进措施：根据本年度实际完成193.26万元的情况，将下一年度指标值从222万元下调至200万元以内，既体现“过紧日子”的常态化要求，也确保指标与实际管理能力相匹配，避免预算冗余。</w:t>
      </w:r>
    </w:p>
    <w:p w14:paraId="3AE4C8C8">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：社区开展各项群众活动经费，指标值：</w:t>
      </w:r>
      <w:r>
        <w:rPr>
          <w:rFonts w:hint="eastAsia" w:ascii="仿宋_GB2312" w:hAnsi="仿宋_GB2312" w:eastAsia="仿宋_GB2312" w:cs="仿宋_GB2312"/>
          <w:sz w:val="32"/>
          <w:szCs w:val="32"/>
          <w:lang w:val="en-US" w:eastAsia="zh-CN"/>
        </w:rPr>
        <w:t>小于等于160</w:t>
      </w:r>
      <w:r>
        <w:rPr>
          <w:rFonts w:hint="eastAsia" w:ascii="仿宋_GB2312" w:hAnsi="仿宋_GB2312" w:eastAsia="仿宋_GB2312" w:cs="仿宋_GB2312"/>
          <w:sz w:val="32"/>
          <w:szCs w:val="32"/>
        </w:rPr>
        <w:t>万元，实际完成值：158.79万元，指标完成率</w:t>
      </w:r>
      <w:r>
        <w:rPr>
          <w:rFonts w:hint="eastAsia" w:ascii="仿宋_GB2312" w:hAnsi="仿宋_GB2312" w:eastAsia="仿宋_GB2312" w:cs="仿宋_GB2312"/>
          <w:sz w:val="32"/>
          <w:szCs w:val="32"/>
          <w:lang w:val="en-US" w:eastAsia="zh-CN"/>
        </w:rPr>
        <w:t>99.24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 xml:space="preserve">  </w:t>
      </w:r>
    </w:p>
    <w:p w14:paraId="19BF0F2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偏差原因：我单位开展各项群众活动，充分依托自身现有的人力、物力条件，优化资源配置，实现了经费的有效控制。</w:t>
      </w:r>
    </w:p>
    <w:p w14:paraId="17B33FD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改进措施：参考实际完成的158.79万元，将下一年度指标值设定为155万元以内，在确保社区工作正常开展的前提下，合理压缩预算空间，体现精细化管理要求，避免指标冗余。</w:t>
      </w:r>
    </w:p>
    <w:p w14:paraId="02D663BB">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：社区化解各类欠款经费，指标值：</w:t>
      </w:r>
      <w:r>
        <w:rPr>
          <w:rFonts w:hint="eastAsia" w:ascii="仿宋_GB2312" w:hAnsi="仿宋_GB2312" w:eastAsia="仿宋_GB2312" w:cs="仿宋_GB2312"/>
          <w:sz w:val="32"/>
          <w:szCs w:val="32"/>
          <w:lang w:val="en-US" w:eastAsia="zh-CN"/>
        </w:rPr>
        <w:t>小于等于34万元</w:t>
      </w:r>
      <w:r>
        <w:rPr>
          <w:rFonts w:hint="eastAsia" w:ascii="仿宋_GB2312" w:hAnsi="仿宋_GB2312" w:eastAsia="仿宋_GB2312" w:cs="仿宋_GB2312"/>
          <w:sz w:val="32"/>
          <w:szCs w:val="32"/>
        </w:rPr>
        <w:t>，实际完成值：33.84万元，指标完成率</w:t>
      </w:r>
      <w:r>
        <w:rPr>
          <w:rFonts w:hint="eastAsia" w:ascii="仿宋_GB2312" w:hAnsi="仿宋_GB2312" w:eastAsia="仿宋_GB2312" w:cs="仿宋_GB2312"/>
          <w:sz w:val="32"/>
          <w:szCs w:val="32"/>
          <w:lang w:val="en-US" w:eastAsia="zh-CN"/>
        </w:rPr>
        <w:t>99.53</w:t>
      </w:r>
      <w:r>
        <w:rPr>
          <w:rFonts w:hint="eastAsia" w:ascii="仿宋_GB2312" w:hAnsi="仿宋_GB2312" w:eastAsia="仿宋_GB2312" w:cs="仿宋_GB2312"/>
          <w:sz w:val="32"/>
          <w:szCs w:val="32"/>
        </w:rPr>
        <w:t>%。</w:t>
      </w:r>
    </w:p>
    <w:p w14:paraId="1D9EA65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偏差原因：</w:t>
      </w:r>
      <w:r>
        <w:rPr>
          <w:rFonts w:hint="eastAsia" w:ascii="仿宋_GB2312" w:hAnsi="仿宋_GB2312" w:eastAsia="仿宋_GB2312" w:cs="仿宋_GB2312"/>
          <w:sz w:val="32"/>
          <w:szCs w:val="32"/>
          <w:lang w:val="en-US" w:eastAsia="zh-CN"/>
        </w:rPr>
        <w:t>年初</w:t>
      </w:r>
      <w:r>
        <w:rPr>
          <w:rFonts w:hint="eastAsia" w:ascii="仿宋_GB2312" w:hAnsi="仿宋_GB2312" w:eastAsia="仿宋_GB2312" w:cs="仿宋_GB2312"/>
          <w:sz w:val="32"/>
          <w:szCs w:val="32"/>
        </w:rPr>
        <w:t>设定的欠款化解目标为34万元，经不懈努力，实际完成欠款化解33.84万元。</w:t>
      </w:r>
    </w:p>
    <w:p w14:paraId="6F006B5D">
      <w:pPr>
        <w:spacing w:line="600" w:lineRule="exact"/>
        <w:ind w:firstLine="640" w:firstLineChars="200"/>
        <w:outlineLvl w:val="0"/>
        <w:rPr>
          <w:rFonts w:hint="eastAsia"/>
        </w:rPr>
      </w:pPr>
      <w:r>
        <w:rPr>
          <w:rFonts w:hint="eastAsia" w:ascii="仿宋_GB2312" w:hAnsi="仿宋_GB2312" w:eastAsia="仿宋_GB2312" w:cs="仿宋_GB2312"/>
          <w:sz w:val="32"/>
          <w:szCs w:val="32"/>
          <w:lang w:val="en-US" w:eastAsia="zh-CN"/>
        </w:rPr>
        <w:t>改进措施：将欠款细化分类管控，针对不同类型欠款设定差异化化解目标（如历史遗留欠款化解率提升10%），精准定位攻坚方向，提高指标针对性。</w:t>
      </w:r>
    </w:p>
    <w:p w14:paraId="54B5170F">
      <w:pPr>
        <w:pStyle w:val="13"/>
        <w:numPr>
          <w:ilvl w:val="0"/>
          <w:numId w:val="4"/>
        </w:numPr>
        <w:spacing w:line="560" w:lineRule="exact"/>
        <w:ind w:firstLine="643"/>
        <w:rPr>
          <w:rFonts w:eastAsia="楷体_GB2312"/>
          <w:b/>
          <w:bCs/>
          <w:sz w:val="32"/>
          <w:szCs w:val="32"/>
        </w:rPr>
      </w:pPr>
      <w:r>
        <w:rPr>
          <w:rFonts w:hint="eastAsia" w:eastAsia="楷体_GB2312"/>
          <w:b/>
          <w:bCs/>
          <w:sz w:val="32"/>
          <w:szCs w:val="32"/>
        </w:rPr>
        <w:t>项目效益情况</w:t>
      </w:r>
    </w:p>
    <w:p w14:paraId="2C3B061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个三级指标构成，权重分为20分，实际得分</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分，得分率为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%。具体效益指标及满意度指标完成情况如下：</w:t>
      </w:r>
    </w:p>
    <w:p w14:paraId="7F1C271E">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1.实施效益</w:t>
      </w:r>
    </w:p>
    <w:p w14:paraId="3B4937E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社会效益指标：</w:t>
      </w:r>
    </w:p>
    <w:p w14:paraId="582B4C5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指标1：促进社会稳定和长治久安，指标值：有效促进，实际完成值：完全达到预期 ，指标完成率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改进措施：将“有效促进”的模糊表述，改为量化+细化的具体指标，例如设定“矛盾纠纷调解成功率≥95%”“重大安全隐患整改及时率100%”等可衡量、可追踪的目标，增强指标科学性与考核精准度。</w:t>
      </w:r>
    </w:p>
    <w:p w14:paraId="02586E48">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2.满意度</w:t>
      </w:r>
    </w:p>
    <w:p w14:paraId="389B1C3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满意度指标：</w:t>
      </w:r>
    </w:p>
    <w:p w14:paraId="5852BF17">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指标1：辖区居民满意度，指标值：9</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xml:space="preserve">0%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105.26</w:t>
      </w:r>
      <w:r>
        <w:rPr>
          <w:rFonts w:hint="eastAsia" w:ascii="仿宋_GB2312" w:hAnsi="仿宋_GB2312" w:eastAsia="仿宋_GB2312" w:cs="仿宋_GB2312"/>
          <w:sz w:val="32"/>
          <w:szCs w:val="32"/>
        </w:rPr>
        <w:t>%。</w:t>
      </w:r>
    </w:p>
    <w:p w14:paraId="1DA711A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偏差原因：在项目开展前期，</w:t>
      </w:r>
      <w:r>
        <w:rPr>
          <w:rFonts w:hint="eastAsia" w:ascii="仿宋_GB2312" w:hAnsi="仿宋_GB2312" w:eastAsia="仿宋_GB2312" w:cs="仿宋_GB2312"/>
          <w:sz w:val="32"/>
          <w:szCs w:val="32"/>
          <w:lang w:val="en-US" w:eastAsia="zh-CN"/>
        </w:rPr>
        <w:t>通过多元方式收集居民需求。本次共发放25份调查问卷，实现100%回收，以调查问卷第5问的结果作为满意度完成依据；同时结合</w:t>
      </w:r>
      <w:r>
        <w:rPr>
          <w:rFonts w:hint="eastAsia" w:ascii="仿宋_GB2312" w:hAnsi="仿宋_GB2312" w:eastAsia="仿宋_GB2312" w:cs="仿宋_GB2312"/>
          <w:sz w:val="32"/>
          <w:szCs w:val="32"/>
        </w:rPr>
        <w:t>线下访谈、社区座谈会等形式，</w:t>
      </w:r>
      <w:r>
        <w:rPr>
          <w:rFonts w:hint="eastAsia" w:ascii="仿宋_GB2312" w:hAnsi="仿宋_GB2312" w:eastAsia="仿宋_GB2312" w:cs="仿宋_GB2312"/>
          <w:sz w:val="32"/>
          <w:szCs w:val="32"/>
          <w:lang w:val="en-US" w:eastAsia="zh-CN"/>
        </w:rPr>
        <w:t>全面</w:t>
      </w:r>
      <w:r>
        <w:rPr>
          <w:rFonts w:hint="eastAsia" w:ascii="仿宋_GB2312" w:hAnsi="仿宋_GB2312" w:eastAsia="仿宋_GB2312" w:cs="仿宋_GB2312"/>
          <w:sz w:val="32"/>
          <w:szCs w:val="32"/>
        </w:rPr>
        <w:t>了解辖区居民需求。</w:t>
      </w: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rPr>
        <w:t>有效反馈，</w:t>
      </w:r>
      <w:r>
        <w:rPr>
          <w:rFonts w:hint="eastAsia" w:ascii="仿宋_GB2312" w:hAnsi="仿宋_GB2312" w:eastAsia="仿宋_GB2312" w:cs="仿宋_GB2312"/>
          <w:sz w:val="32"/>
          <w:szCs w:val="32"/>
          <w:lang w:val="en-US" w:eastAsia="zh-CN"/>
        </w:rPr>
        <w:t>社区</w:t>
      </w:r>
      <w:r>
        <w:rPr>
          <w:rFonts w:hint="eastAsia" w:ascii="仿宋_GB2312" w:hAnsi="仿宋_GB2312" w:eastAsia="仿宋_GB2312" w:cs="仿宋_GB2312"/>
          <w:sz w:val="32"/>
          <w:szCs w:val="32"/>
        </w:rPr>
        <w:t>精准规划经费使用，开展增设社区健身设施、举办老年兴趣班等</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，高度契合居民期望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从而显著</w:t>
      </w:r>
      <w:r>
        <w:rPr>
          <w:rFonts w:hint="eastAsia" w:ascii="仿宋_GB2312" w:hAnsi="仿宋_GB2312" w:eastAsia="仿宋_GB2312" w:cs="仿宋_GB2312"/>
          <w:sz w:val="32"/>
          <w:szCs w:val="32"/>
        </w:rPr>
        <w:t>提升</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居民满意度。</w:t>
      </w:r>
    </w:p>
    <w:p w14:paraId="6730C6F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改进措施：基于本年度100%的实际完成情况，将下一年度居民满意度指标值调整为97%-98%，在巩固现有成果的基础上，设定更具挑战性的目标，激励社区持续提升服务质量。</w:t>
      </w:r>
    </w:p>
    <w:p w14:paraId="4BB91D00">
      <w:pPr>
        <w:spacing w:line="560" w:lineRule="exact"/>
        <w:ind w:firstLine="640" w:firstLineChars="200"/>
        <w:rPr>
          <w:rStyle w:val="22"/>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14:paraId="2714B535">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0F470C15">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E437741">
      <w:pPr>
        <w:pStyle w:val="1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C29D6E9">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101A85A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w:t>
      </w:r>
      <w:r>
        <w:rPr>
          <w:rFonts w:hint="eastAsia" w:ascii="仿宋_GB2312" w:hAnsi="仿宋_GB2312" w:eastAsia="仿宋_GB2312" w:cs="仿宋_GB2312"/>
          <w:sz w:val="32"/>
          <w:szCs w:val="32"/>
          <w:lang w:val="en-US" w:eastAsia="zh-CN"/>
        </w:rPr>
        <w:t>由于部分人员</w:t>
      </w:r>
      <w:r>
        <w:rPr>
          <w:rFonts w:hint="eastAsia" w:ascii="仿宋_GB2312" w:hAnsi="仿宋_GB2312" w:eastAsia="仿宋_GB2312" w:cs="仿宋_GB2312"/>
          <w:sz w:val="32"/>
          <w:szCs w:val="32"/>
        </w:rPr>
        <w:t>缺乏相关绩效管理专业知识，自评价工作还存在自我审定的局限性，影响评价质量。</w:t>
      </w:r>
    </w:p>
    <w:p w14:paraId="75811A5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14:paraId="48BB2213">
      <w:pPr>
        <w:spacing w:line="560" w:lineRule="exact"/>
        <w:ind w:firstLine="640" w:firstLineChars="200"/>
        <w:rPr>
          <w:rFonts w:eastAsia="黑体"/>
          <w:sz w:val="32"/>
          <w:szCs w:val="32"/>
        </w:rPr>
      </w:pPr>
      <w:r>
        <w:rPr>
          <w:rFonts w:hint="eastAsia" w:eastAsia="黑体"/>
          <w:sz w:val="32"/>
          <w:szCs w:val="32"/>
          <w:lang w:val="en-US" w:eastAsia="zh-CN"/>
        </w:rPr>
        <w:t>六</w:t>
      </w:r>
      <w:r>
        <w:rPr>
          <w:rFonts w:hint="eastAsia" w:eastAsia="黑体"/>
          <w:sz w:val="32"/>
          <w:szCs w:val="32"/>
        </w:rPr>
        <w:t>、</w:t>
      </w:r>
      <w:r>
        <w:rPr>
          <w:rFonts w:eastAsia="黑体"/>
          <w:sz w:val="32"/>
          <w:szCs w:val="32"/>
        </w:rPr>
        <w:t>有关建议</w:t>
      </w:r>
    </w:p>
    <w:p w14:paraId="0332F6F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14:paraId="3F109F1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14:paraId="60C37FA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5D72CE2">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w:t>
      </w:r>
      <w:bookmarkStart w:id="7" w:name="_GoBack"/>
      <w:bookmarkEnd w:id="7"/>
      <w:r>
        <w:rPr>
          <w:rFonts w:hint="eastAsia" w:ascii="仿宋_GB2312" w:hAnsi="仿宋_GB2312" w:eastAsia="仿宋_GB2312" w:cs="仿宋_GB2312"/>
          <w:sz w:val="32"/>
          <w:szCs w:val="32"/>
        </w:rPr>
        <w:t>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14:paraId="69DE4AC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0C56E46F">
      <w:pPr>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6" w:name="page8"/>
      <w:bookmarkEnd w:id="6"/>
      <w:r>
        <w:rPr>
          <w:rFonts w:eastAsia="黑体"/>
          <w:sz w:val="32"/>
          <w:szCs w:val="32"/>
        </w:rPr>
        <w:t>明的问题</w:t>
      </w:r>
    </w:p>
    <w:p w14:paraId="6FED5BD3">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1.项目支出政策和路径设计科学，结合本单位实际业务需求，合理规划资金使用方向与流程，有效保障项目目标达成。</w:t>
      </w:r>
    </w:p>
    <w:p w14:paraId="30023EE8">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2.项目安排精准契合立项初衷，严格按照预定计划推进实施，各环节均未出现偏离项目核心目标的情况。</w:t>
      </w:r>
    </w:p>
    <w:p w14:paraId="34530D41">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3.项目申报、审核机制健全完善，从申报材料提交、初审到复审，各流程规范有序，确保项目质量。</w:t>
      </w:r>
    </w:p>
    <w:p w14:paraId="1C10B9A4">
      <w:pPr>
        <w:rPr>
          <w:highlight w:val="none"/>
        </w:rPr>
      </w:pPr>
    </w:p>
    <w:p w14:paraId="43C57DE3"/>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0DBF331-17CD-4B6C-BA5F-921596E7458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5F43516-F24D-4D3C-84A4-A13E653662CE}"/>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04CBC77A-8343-4D41-AEA7-34687DD1E7E7}"/>
  </w:font>
  <w:font w:name="华文中宋">
    <w:panose1 w:val="02010600040101010101"/>
    <w:charset w:val="86"/>
    <w:family w:val="auto"/>
    <w:pitch w:val="default"/>
    <w:sig w:usb0="00000287" w:usb1="080F0000" w:usb2="00000000" w:usb3="00000000" w:csb0="0004009F" w:csb1="DFD70000"/>
    <w:embedRegular r:id="rId4" w:fontKey="{404F0D94-2A02-4DB8-96B7-44071E10FC29}"/>
  </w:font>
  <w:font w:name="方正小标宋_GBK">
    <w:panose1 w:val="02000000000000000000"/>
    <w:charset w:val="86"/>
    <w:family w:val="script"/>
    <w:pitch w:val="default"/>
    <w:sig w:usb0="A00002BF" w:usb1="38CF7CFA" w:usb2="00082016" w:usb3="00000000" w:csb0="00040001" w:csb1="00000000"/>
    <w:embedRegular r:id="rId5" w:fontKey="{973DCFB6-5908-4C4A-852E-F2B37B0B3EB4}"/>
  </w:font>
  <w:font w:name="楷体_GB2312">
    <w:panose1 w:val="02010609030101010101"/>
    <w:charset w:val="86"/>
    <w:family w:val="auto"/>
    <w:pitch w:val="default"/>
    <w:sig w:usb0="00000001" w:usb1="080E0000" w:usb2="00000000" w:usb3="00000000" w:csb0="00040000" w:csb1="00000000"/>
    <w:embedRegular r:id="rId6" w:fontKey="{02F03B4E-627D-46B5-ACD5-CD1597703D50}"/>
  </w:font>
  <w:font w:name="方正仿宋_GBK">
    <w:panose1 w:val="02000000000000000000"/>
    <w:charset w:val="86"/>
    <w:family w:val="auto"/>
    <w:pitch w:val="default"/>
    <w:sig w:usb0="A00002BF" w:usb1="38CF7CFA" w:usb2="00082016" w:usb3="00000000" w:csb0="00040001" w:csb1="00000000"/>
    <w:embedRegular r:id="rId7" w:fontKey="{E295DAED-04ED-4C81-93FB-9C32AAF145A1}"/>
  </w:font>
  <w:font w:name="Gungsuh">
    <w:altName w:val="Malgun Gothic"/>
    <w:panose1 w:val="02030600000101010101"/>
    <w:charset w:val="81"/>
    <w:family w:val="roman"/>
    <w:pitch w:val="default"/>
    <w:sig w:usb0="00000000" w:usb1="00000000" w:usb2="00000030" w:usb3="00000000" w:csb0="4008009F" w:csb1="DFD70000"/>
    <w:embedRegular r:id="rId8" w:fontKey="{9AEC6BAA-6088-45EF-A9B3-4C671D76C82F}"/>
  </w:font>
  <w:font w:name="楷体">
    <w:panose1 w:val="02010609060101010101"/>
    <w:charset w:val="86"/>
    <w:family w:val="modern"/>
    <w:pitch w:val="default"/>
    <w:sig w:usb0="800002BF" w:usb1="38CF7CFA" w:usb2="00000016" w:usb3="00000000" w:csb0="00040001" w:csb1="00000000"/>
    <w:embedRegular r:id="rId9" w:fontKey="{E0633699-2D37-42BB-B2A8-64B127008A07}"/>
  </w:font>
  <w:font w:name="方正小标宋简体">
    <w:panose1 w:val="03000509000000000000"/>
    <w:charset w:val="86"/>
    <w:family w:val="auto"/>
    <w:pitch w:val="default"/>
    <w:sig w:usb0="00000001" w:usb1="080E0000" w:usb2="00000000" w:usb3="00000000" w:csb0="00040000"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4DA7E">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5458"/>
                          </w:sdtPr>
                          <w:sdtContent>
                            <w:p w14:paraId="4BF48459">
                              <w:pPr>
                                <w:pStyle w:val="9"/>
                                <w:jc w:val="center"/>
                              </w:pPr>
                              <w:r>
                                <w:fldChar w:fldCharType="begin"/>
                              </w:r>
                              <w:r>
                                <w:instrText xml:space="preserve">PAGE   \* MERGEFORMAT</w:instrText>
                              </w:r>
                              <w:r>
                                <w:fldChar w:fldCharType="separate"/>
                              </w:r>
                              <w:r>
                                <w:rPr>
                                  <w:lang w:val="zh-CN"/>
                                </w:rPr>
                                <w:t>13</w:t>
                              </w:r>
                              <w:r>
                                <w:fldChar w:fldCharType="end"/>
                              </w:r>
                            </w:p>
                          </w:sdtContent>
                        </w:sdt>
                        <w:p w14:paraId="6532D7BF"/>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sdt>
                    <w:sdtPr>
                      <w:id w:val="147465458"/>
                    </w:sdtPr>
                    <w:sdtContent>
                      <w:p w14:paraId="4BF48459">
                        <w:pPr>
                          <w:pStyle w:val="9"/>
                          <w:jc w:val="center"/>
                        </w:pPr>
                        <w:r>
                          <w:fldChar w:fldCharType="begin"/>
                        </w:r>
                        <w:r>
                          <w:instrText xml:space="preserve">PAGE   \* MERGEFORMAT</w:instrText>
                        </w:r>
                        <w:r>
                          <w:fldChar w:fldCharType="separate"/>
                        </w:r>
                        <w:r>
                          <w:rPr>
                            <w:lang w:val="zh-CN"/>
                          </w:rPr>
                          <w:t>13</w:t>
                        </w:r>
                        <w:r>
                          <w:fldChar w:fldCharType="end"/>
                        </w:r>
                      </w:p>
                    </w:sdtContent>
                  </w:sdt>
                  <w:p w14:paraId="6532D7BF"/>
                </w:txbxContent>
              </v:textbox>
            </v:shape>
          </w:pict>
        </mc:Fallback>
      </mc:AlternateContent>
    </w:r>
  </w:p>
  <w:p w14:paraId="73F19743">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DA0D07"/>
    <w:multiLevelType w:val="singleLevel"/>
    <w:tmpl w:val="B8DA0D07"/>
    <w:lvl w:ilvl="0" w:tentative="0">
      <w:start w:val="2"/>
      <w:numFmt w:val="chineseCounting"/>
      <w:suff w:val="nothing"/>
      <w:lvlText w:val="（%1）"/>
      <w:lvlJc w:val="left"/>
      <w:rPr>
        <w:rFonts w:hint="eastAsia"/>
      </w:rPr>
    </w:lvl>
  </w:abstractNum>
  <w:abstractNum w:abstractNumId="1">
    <w:nsid w:val="F7FBBD93"/>
    <w:multiLevelType w:val="singleLevel"/>
    <w:tmpl w:val="F7FBBD93"/>
    <w:lvl w:ilvl="0" w:tentative="0">
      <w:start w:val="3"/>
      <w:numFmt w:val="chineseCounting"/>
      <w:suff w:val="nothing"/>
      <w:lvlText w:val="%1、"/>
      <w:lvlJc w:val="left"/>
      <w:rPr>
        <w:rFonts w:hint="eastAsia"/>
      </w:rPr>
    </w:lvl>
  </w:abstractNum>
  <w:abstractNum w:abstractNumId="2">
    <w:nsid w:val="0053208E"/>
    <w:multiLevelType w:val="singleLevel"/>
    <w:tmpl w:val="0053208E"/>
    <w:lvl w:ilvl="0" w:tentative="0">
      <w:start w:val="1"/>
      <w:numFmt w:val="decimal"/>
      <w:suff w:val="nothing"/>
      <w:lvlText w:val="（%1）"/>
      <w:lvlJc w:val="left"/>
    </w:lvl>
  </w:abstractNum>
  <w:abstractNum w:abstractNumId="3">
    <w:nsid w:val="3C0E49C6"/>
    <w:multiLevelType w:val="singleLevel"/>
    <w:tmpl w:val="3C0E49C6"/>
    <w:lvl w:ilvl="0" w:tentative="0">
      <w:start w:val="3"/>
      <w:numFmt w:val="chineseCounting"/>
      <w:suff w:val="nothing"/>
      <w:lvlText w:val="（%1）"/>
      <w:lvlJc w:val="left"/>
      <w:rPr>
        <w:rFonts w:hint="eastAsia"/>
      </w:rPr>
    </w:lvl>
  </w:abstractNum>
  <w:abstractNum w:abstractNumId="4">
    <w:nsid w:val="73002172"/>
    <w:multiLevelType w:val="singleLevel"/>
    <w:tmpl w:val="73002172"/>
    <w:lvl w:ilvl="0" w:tentative="0">
      <w:start w:val="2"/>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5E392E0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paragraph" w:styleId="5">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7">
    <w:name w:val="Body Text"/>
    <w:basedOn w:val="1"/>
    <w:qFormat/>
    <w:uiPriority w:val="0"/>
    <w:pPr>
      <w:spacing w:after="120"/>
    </w:pPr>
  </w:style>
  <w:style w:type="paragraph" w:styleId="8">
    <w:name w:val="Balloon Text"/>
    <w:basedOn w:val="1"/>
    <w:link w:val="24"/>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11">
    <w:name w:val="footnote text"/>
    <w:basedOn w:val="1"/>
    <w:semiHidden/>
    <w:unhideWhenUsed/>
    <w:uiPriority w:val="99"/>
    <w:pPr>
      <w:snapToGrid w:val="0"/>
      <w:jc w:val="left"/>
    </w:pPr>
    <w:rPr>
      <w:sz w:val="18"/>
      <w:szCs w:val="18"/>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Body Text First Indent"/>
    <w:basedOn w:val="7"/>
    <w:qFormat/>
    <w:uiPriority w:val="0"/>
    <w:pPr>
      <w:spacing w:after="0"/>
      <w:ind w:firstLine="200" w:firstLineChars="200"/>
    </w:pPr>
  </w:style>
  <w:style w:type="table" w:styleId="15">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basedOn w:val="16"/>
    <w:qFormat/>
    <w:uiPriority w:val="0"/>
    <w:rPr>
      <w:b/>
      <w:bCs/>
    </w:rPr>
  </w:style>
  <w:style w:type="character" w:styleId="18">
    <w:name w:val="footnote reference"/>
    <w:basedOn w:val="16"/>
    <w:semiHidden/>
    <w:unhideWhenUsed/>
    <w:qFormat/>
    <w:uiPriority w:val="99"/>
    <w:rPr>
      <w:vertAlign w:val="superscript"/>
    </w:rPr>
  </w:style>
  <w:style w:type="paragraph" w:customStyle="1" w:styleId="19">
    <w:name w:val="Comment Text"/>
    <w:basedOn w:val="1"/>
    <w:link w:val="26"/>
    <w:qFormat/>
    <w:uiPriority w:val="0"/>
    <w:pPr>
      <w:jc w:val="left"/>
    </w:pPr>
  </w:style>
  <w:style w:type="paragraph" w:customStyle="1" w:styleId="20">
    <w:name w:val="Comment Subject"/>
    <w:basedOn w:val="19"/>
    <w:next w:val="19"/>
    <w:link w:val="27"/>
    <w:qFormat/>
    <w:uiPriority w:val="0"/>
    <w:rPr>
      <w:b/>
      <w:bCs/>
    </w:rPr>
  </w:style>
  <w:style w:type="character" w:customStyle="1" w:styleId="21">
    <w:name w:val="Comment Reference"/>
    <w:basedOn w:val="16"/>
    <w:qFormat/>
    <w:uiPriority w:val="0"/>
    <w:rPr>
      <w:sz w:val="21"/>
      <w:szCs w:val="21"/>
    </w:rPr>
  </w:style>
  <w:style w:type="character" w:customStyle="1" w:styleId="22">
    <w:name w:val="fontstyle01"/>
    <w:qFormat/>
    <w:uiPriority w:val="0"/>
    <w:rPr>
      <w:rFonts w:ascii="仿宋_GB2312" w:hAnsi="仿宋_GB2312" w:eastAsia="仿宋_GB2312" w:cs="仿宋_GB2312"/>
      <w:color w:val="000000"/>
      <w:sz w:val="32"/>
      <w:szCs w:val="32"/>
    </w:rPr>
  </w:style>
  <w:style w:type="paragraph" w:customStyle="1" w:styleId="23">
    <w:name w:val="闻政-正文段落文字"/>
    <w:basedOn w:val="1"/>
    <w:qFormat/>
    <w:uiPriority w:val="3"/>
    <w:pPr>
      <w:spacing w:line="500" w:lineRule="exact"/>
      <w:ind w:firstLine="200"/>
    </w:pPr>
    <w:rPr>
      <w:kern w:val="0"/>
      <w:szCs w:val="28"/>
    </w:rPr>
  </w:style>
  <w:style w:type="character" w:customStyle="1" w:styleId="24">
    <w:name w:val="批注框文本 字符"/>
    <w:basedOn w:val="16"/>
    <w:link w:val="8"/>
    <w:qFormat/>
    <w:uiPriority w:val="0"/>
    <w:rPr>
      <w:rFonts w:ascii="Times New Roman" w:hAnsi="Times New Roman" w:eastAsia="宋体" w:cs="Times New Roman"/>
      <w:kern w:val="2"/>
      <w:sz w:val="18"/>
      <w:szCs w:val="18"/>
    </w:rPr>
  </w:style>
  <w:style w:type="character" w:customStyle="1" w:styleId="25">
    <w:name w:val="页眉 字符"/>
    <w:basedOn w:val="16"/>
    <w:link w:val="10"/>
    <w:qFormat/>
    <w:uiPriority w:val="0"/>
    <w:rPr>
      <w:rFonts w:ascii="Times New Roman" w:hAnsi="Times New Roman" w:eastAsia="宋体" w:cs="Times New Roman"/>
      <w:kern w:val="2"/>
      <w:sz w:val="18"/>
      <w:szCs w:val="18"/>
    </w:rPr>
  </w:style>
  <w:style w:type="character" w:customStyle="1" w:styleId="26">
    <w:name w:val="批注文字 字符"/>
    <w:basedOn w:val="16"/>
    <w:link w:val="19"/>
    <w:qFormat/>
    <w:uiPriority w:val="0"/>
    <w:rPr>
      <w:rFonts w:ascii="Times New Roman" w:hAnsi="Times New Roman" w:eastAsia="宋体" w:cs="Times New Roman"/>
      <w:kern w:val="2"/>
      <w:sz w:val="21"/>
      <w:szCs w:val="24"/>
    </w:rPr>
  </w:style>
  <w:style w:type="character" w:customStyle="1" w:styleId="27">
    <w:name w:val="批注主题 字符"/>
    <w:basedOn w:val="26"/>
    <w:link w:val="2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35462C0B3FB543198819AAAFD75799DD_13</vt:lpwstr>
  </property>
  <property fmtid="{D5CDD505-2E9C-101B-9397-08002B2CF9AE}" pid="4" name="KSOTemplateDocerSaveRecord">
    <vt:lpwstr>eyJoZGlkIjoiZDAzZTU0Nzc3ZmY5OWM5ZWZiZmFjMWRkODNjYmI4MTAiLCJ1c2VySWQiOiIyNzQ3NDM5NjAifQ==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A5C986-6CAE-461A-935E-905AB5D0E2F3}">
  <ds:schemaRefs/>
</ds:datastoreItem>
</file>

<file path=customXml/itemProps3.xml><?xml version="1.0" encoding="utf-8"?>
<ds:datastoreItem xmlns:ds="http://schemas.openxmlformats.org/officeDocument/2006/customXml" ds:itemID="{c2ad98cb-be07-488b-a3de-fde0788e88f2}">
  <ds:schemaRefs/>
</ds:datastoreItem>
</file>

<file path=docProps/app.xml><?xml version="1.0" encoding="utf-8"?>
<Properties xmlns="http://schemas.openxmlformats.org/officeDocument/2006/extended-properties" xmlns:vt="http://schemas.openxmlformats.org/officeDocument/2006/docPropsVTypes">
  <Template>Normal</Template>
  <Pages>25</Pages>
  <Words>11991</Words>
  <Characters>12612</Characters>
  <Lines>66</Lines>
  <Paragraphs>18</Paragraphs>
  <TotalTime>30</TotalTime>
  <ScaleCrop>false</ScaleCrop>
  <LinksUpToDate>false</LinksUpToDate>
  <CharactersWithSpaces>12635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cp:lastPrinted>2025-06-27T11:11:00Z</cp:lastPrinted>
  <dcterms:modified xsi:type="dcterms:W3CDTF">2025-11-05T07:18:37Z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35462C0B3FB543198819AAAFD75799DD_13</vt:lpwstr>
  </property>
  <property fmtid="{D5CDD505-2E9C-101B-9397-08002B2CF9AE}" pid="4" name="KSOTemplateDocerSaveRecord">
    <vt:lpwstr>eyJoZGlkIjoiZDAzZTU0Nzc3ZmY5OWM5ZWZiZmFjMWRkODNjYmI4MTAiLCJ1c2VySWQiOiIyNzQ3NDM5NjAifQ_x003D__x003D_</vt:lpwstr>
  </property>
</Properties>
</file>